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E2E" w:rsidRPr="009A7F3D" w:rsidRDefault="00F503D9" w:rsidP="008F0E2E">
      <w:pPr>
        <w:rPr>
          <w:rFonts w:ascii="Calibri" w:hAnsi="Calibri" w:cs="Calibri"/>
          <w:i/>
          <w:vanish/>
          <w:lang w:val="en-GB"/>
        </w:rPr>
      </w:pPr>
      <w:r w:rsidRPr="009A7F3D">
        <w:rPr>
          <w:rFonts w:ascii="Calibri" w:hAnsi="Calibri" w:cs="Calibri"/>
          <w:i/>
          <w:vanish/>
          <w:lang w:val="en-GB"/>
        </w:rPr>
        <w:t>Press Release</w:t>
      </w:r>
    </w:p>
    <w:p w:rsidR="00F503D9" w:rsidRPr="009A7F3D" w:rsidRDefault="00F503D9" w:rsidP="008F0E2E">
      <w:pPr>
        <w:rPr>
          <w:rFonts w:ascii="Calibri" w:hAnsi="Calibri" w:cs="Calibri"/>
          <w:i/>
          <w:vanish/>
          <w:lang w:val="en-GB"/>
        </w:rPr>
      </w:pPr>
      <w:r w:rsidRPr="009A7F3D">
        <w:rPr>
          <w:rFonts w:ascii="Calibri" w:hAnsi="Calibri" w:cs="Calibri"/>
          <w:i/>
          <w:vanish/>
          <w:lang w:val="en-GB"/>
        </w:rPr>
        <w:t>29 April 2011</w:t>
      </w:r>
    </w:p>
    <w:p w:rsidR="00F503D9" w:rsidRPr="009A7F3D" w:rsidRDefault="009A7F3D" w:rsidP="00F503D9">
      <w:pPr>
        <w:pStyle w:val="Sansinterligne"/>
        <w:jc w:val="both"/>
        <w:rPr>
          <w:rFonts w:cs="Calibri"/>
          <w:i/>
          <w:sz w:val="20"/>
          <w:szCs w:val="20"/>
          <w:lang w:val="en-GB"/>
        </w:rPr>
      </w:pPr>
      <w:r w:rsidRPr="009A7F3D">
        <w:rPr>
          <w:rFonts w:cs="Calibri"/>
          <w:i/>
          <w:sz w:val="20"/>
          <w:szCs w:val="20"/>
          <w:lang w:val="en-GB"/>
        </w:rPr>
        <w:t>Press Release</w:t>
      </w:r>
    </w:p>
    <w:p w:rsidR="009A7F3D" w:rsidRPr="009A7F3D" w:rsidRDefault="00A442E3" w:rsidP="00F503D9">
      <w:pPr>
        <w:pStyle w:val="Sansinterligne"/>
        <w:jc w:val="both"/>
        <w:rPr>
          <w:rFonts w:cs="Calibri"/>
          <w:i/>
          <w:sz w:val="20"/>
          <w:szCs w:val="20"/>
          <w:lang w:val="en-GB"/>
        </w:rPr>
      </w:pPr>
      <w:r>
        <w:rPr>
          <w:rFonts w:cs="Calibri"/>
          <w:i/>
          <w:sz w:val="20"/>
          <w:szCs w:val="20"/>
          <w:lang w:val="en-GB"/>
        </w:rPr>
        <w:t>24 April 2012</w:t>
      </w:r>
    </w:p>
    <w:p w:rsidR="006A0B56" w:rsidRPr="00D60DF3" w:rsidRDefault="006A0B56" w:rsidP="00F503D9">
      <w:pPr>
        <w:rPr>
          <w:rFonts w:ascii="Calibri" w:eastAsia="Calibri" w:hAnsi="Calibri" w:cs="Calibri"/>
          <w:color w:val="C00000"/>
          <w:sz w:val="18"/>
          <w:szCs w:val="18"/>
          <w:lang w:val="en-US" w:eastAsia="en-US"/>
        </w:rPr>
      </w:pPr>
    </w:p>
    <w:p w:rsidR="00F503D9" w:rsidRPr="006A0B56" w:rsidRDefault="00A442E3" w:rsidP="00F503D9">
      <w:pPr>
        <w:rPr>
          <w:rFonts w:ascii="Calibri" w:eastAsia="Calibri" w:hAnsi="Calibri" w:cs="Calibri"/>
          <w:color w:val="C00000"/>
          <w:sz w:val="22"/>
          <w:szCs w:val="22"/>
          <w:u w:val="single"/>
          <w:lang w:val="en-US" w:eastAsia="en-US"/>
        </w:rPr>
      </w:pPr>
      <w:r>
        <w:rPr>
          <w:rFonts w:ascii="Calibri" w:eastAsia="Calibri" w:hAnsi="Calibri" w:cs="Calibri"/>
          <w:color w:val="C00000"/>
          <w:sz w:val="22"/>
          <w:szCs w:val="22"/>
          <w:u w:val="single"/>
          <w:lang w:val="en-US" w:eastAsia="en-US"/>
        </w:rPr>
        <w:t>O’KEY GROUP ANNOUNCES FY 2011</w:t>
      </w:r>
      <w:r w:rsidR="00F503D9" w:rsidRPr="006A0B56">
        <w:rPr>
          <w:rFonts w:ascii="Calibri" w:eastAsia="Calibri" w:hAnsi="Calibri" w:cs="Calibri"/>
          <w:color w:val="C00000"/>
          <w:sz w:val="22"/>
          <w:szCs w:val="22"/>
          <w:u w:val="single"/>
          <w:lang w:val="en-US" w:eastAsia="en-US"/>
        </w:rPr>
        <w:t xml:space="preserve"> RESULTS</w:t>
      </w:r>
    </w:p>
    <w:p w:rsidR="005B4857" w:rsidRPr="0043403F" w:rsidRDefault="005B4857" w:rsidP="005B4857">
      <w:pPr>
        <w:rPr>
          <w:rFonts w:ascii="Calibri" w:eastAsia="Times New Roman" w:hAnsi="Calibri" w:cs="Calibri"/>
          <w:lang w:val="en-GB" w:eastAsia="en-GB"/>
        </w:rPr>
      </w:pPr>
    </w:p>
    <w:p w:rsidR="00023F51" w:rsidRPr="00831091" w:rsidRDefault="00265D16" w:rsidP="005B4857">
      <w:pPr>
        <w:rPr>
          <w:rFonts w:ascii="Calibri" w:eastAsia="Times New Roman" w:hAnsi="Calibri" w:cs="Calibri"/>
          <w:b/>
          <w:i/>
          <w:lang w:val="en-GB" w:eastAsia="en-GB"/>
        </w:rPr>
      </w:pPr>
      <w:r>
        <w:rPr>
          <w:rFonts w:ascii="Calibri" w:eastAsia="Times New Roman" w:hAnsi="Calibri" w:cs="Calibri"/>
          <w:b/>
          <w:i/>
          <w:lang w:val="en-GB" w:eastAsia="en-GB"/>
        </w:rPr>
        <w:t xml:space="preserve">GROSS MARGIN AT A HISTORICAL HIGH AND </w:t>
      </w:r>
      <w:r w:rsidR="005D7D04" w:rsidRPr="00831091">
        <w:rPr>
          <w:rFonts w:ascii="Calibri" w:eastAsia="Times New Roman" w:hAnsi="Calibri" w:cs="Calibri"/>
          <w:b/>
          <w:i/>
          <w:lang w:val="en-GB" w:eastAsia="en-GB"/>
        </w:rPr>
        <w:t>EBITDA MARGIN AHEAD OF GUIDANCE</w:t>
      </w:r>
      <w:r w:rsidR="00C91C7E">
        <w:rPr>
          <w:rFonts w:ascii="Calibri" w:eastAsia="Times New Roman" w:hAnsi="Calibri" w:cs="Calibri"/>
          <w:b/>
          <w:i/>
          <w:lang w:val="en-GB" w:eastAsia="en-GB"/>
        </w:rPr>
        <w:t xml:space="preserve"> </w:t>
      </w:r>
    </w:p>
    <w:p w:rsidR="00023F51" w:rsidRPr="0043403F" w:rsidRDefault="00023F51" w:rsidP="005B4857">
      <w:pPr>
        <w:rPr>
          <w:rFonts w:ascii="Calibri" w:eastAsia="Times New Roman" w:hAnsi="Calibri" w:cs="Calibri"/>
          <w:lang w:val="en-GB" w:eastAsia="en-GB"/>
        </w:rPr>
      </w:pPr>
    </w:p>
    <w:p w:rsidR="005B4857" w:rsidRPr="005B4857" w:rsidRDefault="005B4857" w:rsidP="001B5386">
      <w:pPr>
        <w:jc w:val="both"/>
        <w:rPr>
          <w:rFonts w:ascii="Calibri" w:eastAsia="Times New Roman" w:hAnsi="Calibri" w:cs="Calibri"/>
          <w:lang w:val="en-GB" w:eastAsia="en-GB"/>
        </w:rPr>
      </w:pPr>
      <w:r w:rsidRPr="005B4857">
        <w:rPr>
          <w:rFonts w:ascii="Calibri" w:eastAsia="Times New Roman" w:hAnsi="Calibri" w:cs="Calibri"/>
          <w:lang w:val="en-GB" w:eastAsia="en-GB"/>
        </w:rPr>
        <w:t>O’Key Group S.A., (“O’Key Group”, “the Group” or “the Company”), a leading food retailer in Russia (LSE ticker: OKEY), today released its audited consolidated IFRS financial results for</w:t>
      </w:r>
      <w:r w:rsidR="00A442E3">
        <w:rPr>
          <w:rFonts w:ascii="Calibri" w:eastAsia="Times New Roman" w:hAnsi="Calibri" w:cs="Calibri"/>
          <w:lang w:val="en-GB" w:eastAsia="en-GB"/>
        </w:rPr>
        <w:t xml:space="preserve"> the year ended 31 December 2011.  These and the company’s 2011</w:t>
      </w:r>
      <w:r w:rsidRPr="005B4857">
        <w:rPr>
          <w:rFonts w:ascii="Calibri" w:eastAsia="Times New Roman" w:hAnsi="Calibri" w:cs="Calibri"/>
          <w:lang w:val="en-GB" w:eastAsia="en-GB"/>
        </w:rPr>
        <w:t xml:space="preserve"> Annual Report have been published on the company’s website, </w:t>
      </w:r>
      <w:hyperlink r:id="rId8" w:history="1">
        <w:r w:rsidR="00780A68">
          <w:rPr>
            <w:rFonts w:ascii="Calibri" w:eastAsia="Times New Roman" w:hAnsi="Calibri" w:cs="Calibri"/>
            <w:color w:val="0000FF"/>
            <w:u w:val="single"/>
            <w:lang w:val="en-GB" w:eastAsia="en-GB"/>
          </w:rPr>
          <w:t>www.okmarket.ru/investors</w:t>
        </w:r>
      </w:hyperlink>
      <w:r w:rsidRPr="005B4857">
        <w:rPr>
          <w:rFonts w:ascii="Calibri" w:eastAsia="Times New Roman" w:hAnsi="Calibri" w:cs="Calibri"/>
          <w:lang w:val="en-GB" w:eastAsia="en-GB"/>
        </w:rPr>
        <w:t xml:space="preserve">. </w:t>
      </w:r>
    </w:p>
    <w:p w:rsidR="005B4857" w:rsidRPr="0043403F" w:rsidRDefault="005B4857" w:rsidP="005B4857">
      <w:pPr>
        <w:rPr>
          <w:rFonts w:ascii="Calibri" w:eastAsia="Times New Roman" w:hAnsi="Calibri" w:cs="Calibri"/>
          <w:lang w:val="en-GB" w:eastAsia="en-GB"/>
        </w:rPr>
      </w:pPr>
    </w:p>
    <w:p w:rsidR="005B4857" w:rsidRDefault="00A442E3" w:rsidP="005B4857">
      <w:pPr>
        <w:rPr>
          <w:rFonts w:ascii="Calibri" w:eastAsia="Times New Roman" w:hAnsi="Calibri" w:cs="Calibri"/>
          <w:b/>
          <w:lang w:val="en-GB" w:eastAsia="en-GB"/>
        </w:rPr>
      </w:pPr>
      <w:r>
        <w:rPr>
          <w:rFonts w:ascii="Calibri" w:eastAsia="Times New Roman" w:hAnsi="Calibri" w:cs="Calibri"/>
          <w:b/>
          <w:lang w:val="en-GB" w:eastAsia="en-GB"/>
        </w:rPr>
        <w:t>2011</w:t>
      </w:r>
      <w:r w:rsidR="005B4857" w:rsidRPr="005B4857">
        <w:rPr>
          <w:rFonts w:ascii="Calibri" w:eastAsia="Times New Roman" w:hAnsi="Calibri" w:cs="Calibri"/>
          <w:b/>
          <w:lang w:val="en-GB" w:eastAsia="en-GB"/>
        </w:rPr>
        <w:t xml:space="preserve"> Year-end Highlights:</w:t>
      </w:r>
    </w:p>
    <w:p w:rsidR="00023F51" w:rsidRPr="0043403F" w:rsidRDefault="00023F51" w:rsidP="005B4857">
      <w:pPr>
        <w:rPr>
          <w:rFonts w:ascii="Calibri" w:eastAsia="Times New Roman" w:hAnsi="Calibri" w:cs="Calibri"/>
          <w:b/>
          <w:lang w:val="en-GB" w:eastAsia="en-GB"/>
        </w:rPr>
      </w:pPr>
    </w:p>
    <w:p w:rsidR="005B4857" w:rsidRPr="005B4857" w:rsidRDefault="00A442E3" w:rsidP="001B5386">
      <w:pPr>
        <w:numPr>
          <w:ilvl w:val="0"/>
          <w:numId w:val="7"/>
        </w:numPr>
        <w:contextualSpacing/>
        <w:jc w:val="both"/>
        <w:rPr>
          <w:rFonts w:ascii="Calibri" w:eastAsia="Times New Roman" w:hAnsi="Calibri" w:cs="Calibri"/>
          <w:b/>
          <w:lang w:val="en-GB" w:eastAsia="en-GB"/>
        </w:rPr>
      </w:pPr>
      <w:r>
        <w:rPr>
          <w:rFonts w:ascii="Calibri" w:eastAsia="Times New Roman" w:hAnsi="Calibri" w:cs="Calibri"/>
          <w:lang w:val="en-GB" w:eastAsia="en-GB"/>
        </w:rPr>
        <w:t xml:space="preserve">Total revenue grew </w:t>
      </w:r>
      <w:r w:rsidR="005B4857" w:rsidRPr="005B4857">
        <w:rPr>
          <w:rFonts w:ascii="Calibri" w:eastAsia="Times New Roman" w:hAnsi="Calibri" w:cs="Calibri"/>
          <w:lang w:val="en-GB" w:eastAsia="en-GB"/>
        </w:rPr>
        <w:t>1</w:t>
      </w:r>
      <w:r>
        <w:rPr>
          <w:rFonts w:ascii="Calibri" w:eastAsia="Times New Roman" w:hAnsi="Calibri" w:cs="Calibri"/>
          <w:lang w:val="en-GB" w:eastAsia="en-GB"/>
        </w:rPr>
        <w:t>2.7% to RUB 93.1</w:t>
      </w:r>
      <w:r w:rsidR="005B4857" w:rsidRPr="005B4857">
        <w:rPr>
          <w:rFonts w:ascii="Calibri" w:eastAsia="Times New Roman" w:hAnsi="Calibri" w:cs="Calibri"/>
          <w:lang w:val="en-GB" w:eastAsia="en-GB"/>
        </w:rPr>
        <w:t xml:space="preserve"> billion, </w:t>
      </w:r>
      <w:r w:rsidR="00265D16">
        <w:rPr>
          <w:rFonts w:ascii="Calibri" w:eastAsia="Times New Roman" w:hAnsi="Calibri" w:cs="Calibri"/>
          <w:lang w:val="en-GB" w:eastAsia="en-GB"/>
        </w:rPr>
        <w:t xml:space="preserve"> with</w:t>
      </w:r>
      <w:r w:rsidR="00265D16" w:rsidRPr="005B4857">
        <w:rPr>
          <w:rFonts w:ascii="Calibri" w:eastAsia="Times New Roman" w:hAnsi="Calibri" w:cs="Calibri"/>
          <w:lang w:val="en-GB" w:eastAsia="en-GB"/>
        </w:rPr>
        <w:t xml:space="preserve"> </w:t>
      </w:r>
      <w:r w:rsidR="005B4857" w:rsidRPr="005B4857">
        <w:rPr>
          <w:rFonts w:ascii="Calibri" w:eastAsia="Times New Roman" w:hAnsi="Calibri" w:cs="Calibri"/>
          <w:lang w:val="en-GB" w:eastAsia="en-GB"/>
        </w:rPr>
        <w:t>lik</w:t>
      </w:r>
      <w:r>
        <w:rPr>
          <w:rFonts w:ascii="Calibri" w:eastAsia="Times New Roman" w:hAnsi="Calibri" w:cs="Calibri"/>
          <w:lang w:val="en-GB" w:eastAsia="en-GB"/>
        </w:rPr>
        <w:t xml:space="preserve">e-for-like revenue </w:t>
      </w:r>
      <w:r w:rsidR="00265D16">
        <w:rPr>
          <w:rFonts w:ascii="Calibri" w:eastAsia="Times New Roman" w:hAnsi="Calibri" w:cs="Calibri"/>
          <w:lang w:val="en-GB" w:eastAsia="en-GB"/>
        </w:rPr>
        <w:t xml:space="preserve">at </w:t>
      </w:r>
      <w:r w:rsidR="00A67E7C" w:rsidRPr="001B5386">
        <w:rPr>
          <w:rFonts w:ascii="Calibri" w:eastAsia="Times New Roman" w:hAnsi="Calibri" w:cs="Calibri"/>
          <w:lang w:val="en-GB" w:eastAsia="en-GB"/>
        </w:rPr>
        <w:t>5</w:t>
      </w:r>
      <w:r w:rsidRPr="001B5386">
        <w:rPr>
          <w:rFonts w:ascii="Calibri" w:eastAsia="Times New Roman" w:hAnsi="Calibri" w:cs="Calibri"/>
          <w:lang w:val="en-GB" w:eastAsia="en-GB"/>
        </w:rPr>
        <w:t>.</w:t>
      </w:r>
      <w:r w:rsidR="00A67E7C" w:rsidRPr="001B5386">
        <w:rPr>
          <w:rFonts w:ascii="Calibri" w:eastAsia="Times New Roman" w:hAnsi="Calibri" w:cs="Calibri"/>
          <w:lang w:val="en-GB" w:eastAsia="en-GB"/>
        </w:rPr>
        <w:t>3</w:t>
      </w:r>
      <w:r w:rsidR="005B4857" w:rsidRPr="005B4857">
        <w:rPr>
          <w:rFonts w:ascii="Calibri" w:eastAsia="Times New Roman" w:hAnsi="Calibri" w:cs="Calibri"/>
          <w:lang w:val="en-GB" w:eastAsia="en-GB"/>
        </w:rPr>
        <w:t xml:space="preserve">% </w:t>
      </w:r>
    </w:p>
    <w:p w:rsidR="005B4857" w:rsidRPr="005B4857" w:rsidRDefault="00A67E7C" w:rsidP="001B5386">
      <w:pPr>
        <w:numPr>
          <w:ilvl w:val="0"/>
          <w:numId w:val="7"/>
        </w:numPr>
        <w:contextualSpacing/>
        <w:jc w:val="both"/>
        <w:rPr>
          <w:rFonts w:ascii="Calibri" w:eastAsia="Times New Roman" w:hAnsi="Calibri" w:cs="Calibri"/>
          <w:b/>
          <w:lang w:val="en-GB" w:eastAsia="en-GB"/>
        </w:rPr>
      </w:pPr>
      <w:r>
        <w:rPr>
          <w:rFonts w:ascii="Calibri" w:eastAsia="Times New Roman" w:hAnsi="Calibri" w:cs="Calibri"/>
          <w:lang w:val="en-GB" w:eastAsia="en-GB"/>
        </w:rPr>
        <w:t>14</w:t>
      </w:r>
      <w:r w:rsidR="005B4857" w:rsidRPr="005B4857">
        <w:rPr>
          <w:rFonts w:ascii="Calibri" w:eastAsia="Times New Roman" w:hAnsi="Calibri" w:cs="Calibri"/>
          <w:lang w:val="en-GB" w:eastAsia="en-GB"/>
        </w:rPr>
        <w:t xml:space="preserve"> new stores opened for operation during the ye</w:t>
      </w:r>
      <w:r>
        <w:rPr>
          <w:rFonts w:ascii="Calibri" w:eastAsia="Times New Roman" w:hAnsi="Calibri" w:cs="Calibri"/>
          <w:lang w:val="en-GB" w:eastAsia="en-GB"/>
        </w:rPr>
        <w:t>ar</w:t>
      </w:r>
    </w:p>
    <w:p w:rsidR="00C80757" w:rsidRPr="005B4857" w:rsidRDefault="00C80757" w:rsidP="001B5386">
      <w:pPr>
        <w:numPr>
          <w:ilvl w:val="0"/>
          <w:numId w:val="7"/>
        </w:numPr>
        <w:contextualSpacing/>
        <w:jc w:val="both"/>
        <w:rPr>
          <w:rFonts w:ascii="Calibri" w:eastAsia="Times New Roman" w:hAnsi="Calibri" w:cs="Calibri"/>
          <w:b/>
          <w:lang w:val="en-GB" w:eastAsia="en-GB"/>
        </w:rPr>
      </w:pPr>
      <w:r>
        <w:rPr>
          <w:rFonts w:ascii="Calibri" w:eastAsia="Times New Roman" w:hAnsi="Calibri" w:cs="Calibri"/>
          <w:lang w:val="en-GB" w:eastAsia="en-GB"/>
        </w:rPr>
        <w:t xml:space="preserve">Gross margin </w:t>
      </w:r>
      <w:r w:rsidR="004F3CF3">
        <w:rPr>
          <w:rFonts w:ascii="Calibri" w:eastAsia="Times New Roman" w:hAnsi="Calibri" w:cs="Calibri"/>
          <w:lang w:val="en-GB" w:eastAsia="en-GB"/>
        </w:rPr>
        <w:t xml:space="preserve">spiked </w:t>
      </w:r>
      <w:r>
        <w:rPr>
          <w:rFonts w:ascii="Calibri" w:eastAsia="Times New Roman" w:hAnsi="Calibri" w:cs="Calibri"/>
          <w:lang w:val="en-GB" w:eastAsia="en-GB"/>
        </w:rPr>
        <w:t xml:space="preserve">to </w:t>
      </w:r>
      <w:r w:rsidR="00265D16">
        <w:rPr>
          <w:rFonts w:ascii="Calibri" w:eastAsia="Times New Roman" w:hAnsi="Calibri" w:cs="Calibri"/>
          <w:lang w:val="en-GB" w:eastAsia="en-GB"/>
        </w:rPr>
        <w:t xml:space="preserve">a historical high of </w:t>
      </w:r>
      <w:r>
        <w:rPr>
          <w:rFonts w:ascii="Calibri" w:eastAsia="Times New Roman" w:hAnsi="Calibri" w:cs="Calibri"/>
          <w:lang w:val="en-GB" w:eastAsia="en-GB"/>
        </w:rPr>
        <w:t>22.8%</w:t>
      </w:r>
      <w:r w:rsidR="004C5F9A">
        <w:rPr>
          <w:rFonts w:ascii="Calibri" w:eastAsia="Times New Roman" w:hAnsi="Calibri" w:cs="Calibri"/>
          <w:lang w:val="en-GB" w:eastAsia="en-GB"/>
        </w:rPr>
        <w:t xml:space="preserve"> </w:t>
      </w:r>
    </w:p>
    <w:p w:rsidR="005B4857" w:rsidRPr="00673262" w:rsidRDefault="000C1FE4" w:rsidP="001B5386">
      <w:pPr>
        <w:numPr>
          <w:ilvl w:val="0"/>
          <w:numId w:val="7"/>
        </w:numPr>
        <w:contextualSpacing/>
        <w:jc w:val="both"/>
        <w:rPr>
          <w:rFonts w:ascii="Calibri" w:eastAsia="Times New Roman" w:hAnsi="Calibri" w:cs="Calibri"/>
          <w:b/>
          <w:lang w:val="en-GB" w:eastAsia="en-GB"/>
        </w:rPr>
      </w:pPr>
      <w:r>
        <w:rPr>
          <w:rFonts w:ascii="Calibri" w:eastAsia="Times New Roman" w:hAnsi="Calibri" w:cs="Calibri"/>
          <w:iCs/>
          <w:lang w:val="en-US" w:eastAsia="en-GB"/>
        </w:rPr>
        <w:t xml:space="preserve">EBITDA </w:t>
      </w:r>
      <w:r w:rsidR="005B4857" w:rsidRPr="005B4857">
        <w:rPr>
          <w:rFonts w:ascii="Calibri" w:eastAsia="Times New Roman" w:hAnsi="Calibri" w:cs="Calibri"/>
          <w:iCs/>
          <w:lang w:val="en-US" w:eastAsia="en-GB"/>
        </w:rPr>
        <w:t xml:space="preserve">margin </w:t>
      </w:r>
      <w:r w:rsidR="00265D16">
        <w:rPr>
          <w:rFonts w:ascii="Calibri" w:eastAsia="Times New Roman" w:hAnsi="Calibri" w:cs="Calibri"/>
          <w:iCs/>
          <w:lang w:val="en-US" w:eastAsia="en-GB"/>
        </w:rPr>
        <w:t xml:space="preserve">ahead of guidance at </w:t>
      </w:r>
      <w:r w:rsidR="001B5386">
        <w:rPr>
          <w:rFonts w:ascii="Calibri" w:eastAsia="Times New Roman" w:hAnsi="Calibri" w:cs="Calibri"/>
          <w:iCs/>
          <w:lang w:val="en-US" w:eastAsia="en-GB"/>
        </w:rPr>
        <w:t>8.1</w:t>
      </w:r>
      <w:r w:rsidR="005B4857" w:rsidRPr="005B4857">
        <w:rPr>
          <w:rFonts w:ascii="Calibri" w:eastAsia="Times New Roman" w:hAnsi="Calibri" w:cs="Calibri"/>
          <w:iCs/>
          <w:lang w:val="en-US" w:eastAsia="en-GB"/>
        </w:rPr>
        <w:t>%</w:t>
      </w:r>
      <w:r w:rsidR="005B4857" w:rsidRPr="005B4857">
        <w:rPr>
          <w:rFonts w:ascii="Calibri" w:eastAsia="Times New Roman" w:hAnsi="Calibri" w:cs="Calibri"/>
          <w:lang w:val="en-GB" w:eastAsia="en-GB"/>
        </w:rPr>
        <w:t xml:space="preserve"> </w:t>
      </w:r>
    </w:p>
    <w:p w:rsidR="005B4857" w:rsidRPr="00800BB5" w:rsidRDefault="001B5386" w:rsidP="001B5386">
      <w:pPr>
        <w:numPr>
          <w:ilvl w:val="0"/>
          <w:numId w:val="7"/>
        </w:numPr>
        <w:contextualSpacing/>
        <w:jc w:val="both"/>
        <w:rPr>
          <w:rFonts w:ascii="Calibri" w:eastAsia="Times New Roman" w:hAnsi="Calibri" w:cs="Calibri"/>
          <w:b/>
          <w:lang w:val="en-GB" w:eastAsia="en-GB"/>
        </w:rPr>
      </w:pPr>
      <w:r>
        <w:rPr>
          <w:rFonts w:ascii="Calibri" w:eastAsia="Times New Roman" w:hAnsi="Calibri" w:cs="Calibri"/>
          <w:lang w:val="en-GB" w:eastAsia="en-GB"/>
        </w:rPr>
        <w:t xml:space="preserve">Net profit </w:t>
      </w:r>
      <w:r w:rsidR="000C1FE4">
        <w:rPr>
          <w:rFonts w:ascii="Calibri" w:eastAsia="Times New Roman" w:hAnsi="Calibri" w:cs="Calibri"/>
          <w:lang w:val="en-GB" w:eastAsia="en-GB"/>
        </w:rPr>
        <w:t xml:space="preserve">increase </w:t>
      </w:r>
      <w:r>
        <w:rPr>
          <w:rFonts w:ascii="Calibri" w:eastAsia="Times New Roman" w:hAnsi="Calibri" w:cs="Calibri"/>
          <w:lang w:val="en-GB" w:eastAsia="en-GB"/>
        </w:rPr>
        <w:t xml:space="preserve">of 20.7% to </w:t>
      </w:r>
      <w:r w:rsidR="000C1FE4">
        <w:rPr>
          <w:rFonts w:ascii="Calibri" w:eastAsia="Times New Roman" w:hAnsi="Calibri" w:cs="Calibri"/>
          <w:lang w:val="en-GB" w:eastAsia="en-GB"/>
        </w:rPr>
        <w:t xml:space="preserve">RUB 3.2 billion </w:t>
      </w:r>
    </w:p>
    <w:p w:rsidR="00265D16" w:rsidRPr="001B5386" w:rsidRDefault="004C2961" w:rsidP="001B5386">
      <w:pPr>
        <w:numPr>
          <w:ilvl w:val="0"/>
          <w:numId w:val="7"/>
        </w:numPr>
        <w:contextualSpacing/>
        <w:jc w:val="both"/>
        <w:rPr>
          <w:rFonts w:ascii="Calibri" w:eastAsia="Times New Roman" w:hAnsi="Calibri" w:cs="Calibri"/>
          <w:b/>
          <w:lang w:val="en-GB" w:eastAsia="en-GB"/>
        </w:rPr>
      </w:pPr>
      <w:r>
        <w:rPr>
          <w:rFonts w:ascii="Calibri" w:eastAsia="Times New Roman" w:hAnsi="Calibri" w:cs="Calibri"/>
          <w:lang w:val="en-GB" w:eastAsia="en-GB"/>
        </w:rPr>
        <w:t>C</w:t>
      </w:r>
      <w:r w:rsidR="0097632F">
        <w:rPr>
          <w:rFonts w:ascii="Calibri" w:eastAsia="Times New Roman" w:hAnsi="Calibri" w:cs="Calibri"/>
          <w:lang w:val="en-GB" w:eastAsia="en-GB"/>
        </w:rPr>
        <w:t xml:space="preserve">ash from operating activities demonstrated </w:t>
      </w:r>
      <w:r>
        <w:rPr>
          <w:rFonts w:ascii="Calibri" w:eastAsia="Times New Roman" w:hAnsi="Calibri" w:cs="Calibri"/>
          <w:lang w:val="en-GB" w:eastAsia="en-GB"/>
        </w:rPr>
        <w:t>25% growth</w:t>
      </w:r>
    </w:p>
    <w:p w:rsidR="002033B8" w:rsidRPr="0043403F" w:rsidRDefault="002033B8" w:rsidP="005B4857">
      <w:pPr>
        <w:rPr>
          <w:rFonts w:ascii="Calibri" w:eastAsia="Times New Roman" w:hAnsi="Calibri" w:cs="Calibri"/>
          <w:lang w:val="en-GB" w:eastAsia="en-GB"/>
        </w:rPr>
      </w:pPr>
    </w:p>
    <w:p w:rsidR="004C5F9A" w:rsidRDefault="005B4857" w:rsidP="00023F51">
      <w:pPr>
        <w:contextualSpacing/>
        <w:jc w:val="both"/>
        <w:rPr>
          <w:rFonts w:ascii="Calibri" w:eastAsia="Times New Roman" w:hAnsi="Calibri" w:cs="Calibri"/>
          <w:lang w:val="en-US" w:eastAsia="en-GB"/>
        </w:rPr>
      </w:pPr>
      <w:proofErr w:type="spellStart"/>
      <w:r w:rsidRPr="005B4857">
        <w:rPr>
          <w:rFonts w:ascii="Calibri" w:eastAsia="Times New Roman" w:hAnsi="Calibri" w:cs="Calibri"/>
          <w:lang w:val="en-US" w:eastAsia="en-GB"/>
        </w:rPr>
        <w:t>O’Key</w:t>
      </w:r>
      <w:proofErr w:type="spellEnd"/>
      <w:r w:rsidRPr="005B4857">
        <w:rPr>
          <w:rFonts w:ascii="Calibri" w:eastAsia="Times New Roman" w:hAnsi="Calibri" w:cs="Calibri"/>
          <w:lang w:val="en-US" w:eastAsia="en-GB"/>
        </w:rPr>
        <w:t xml:space="preserve"> Group CEO Patrick Longuet said:</w:t>
      </w:r>
      <w:r w:rsidR="00023F51">
        <w:rPr>
          <w:rFonts w:ascii="Calibri" w:eastAsia="Times New Roman" w:hAnsi="Calibri" w:cs="Calibri"/>
          <w:lang w:val="en-US" w:eastAsia="en-GB"/>
        </w:rPr>
        <w:t xml:space="preserve"> </w:t>
      </w:r>
      <w:r w:rsidRPr="005B4857">
        <w:rPr>
          <w:rFonts w:ascii="Calibri" w:eastAsia="Times New Roman" w:hAnsi="Calibri" w:cs="Calibri"/>
          <w:lang w:val="en-US" w:eastAsia="en-GB"/>
        </w:rPr>
        <w:t>“</w:t>
      </w:r>
      <w:r w:rsidR="004C5F9A" w:rsidRPr="00C915A8">
        <w:rPr>
          <w:rFonts w:ascii="Calibri" w:eastAsia="Times New Roman" w:hAnsi="Calibri" w:cs="Calibri"/>
          <w:lang w:val="en-US" w:eastAsia="en-GB"/>
        </w:rPr>
        <w:t>We recorded a 12.7% increase in total revenue and our focus on profitability delivered a gross margin of 22.8%, an EBITDA margin of 8.1% a</w:t>
      </w:r>
      <w:r w:rsidR="00023F51">
        <w:rPr>
          <w:rFonts w:ascii="Calibri" w:eastAsia="Times New Roman" w:hAnsi="Calibri" w:cs="Calibri"/>
          <w:lang w:val="en-US" w:eastAsia="en-GB"/>
        </w:rPr>
        <w:t>nd</w:t>
      </w:r>
      <w:r w:rsidR="004C5F9A">
        <w:rPr>
          <w:rFonts w:ascii="Calibri" w:eastAsia="Times New Roman" w:hAnsi="Calibri" w:cs="Calibri"/>
          <w:lang w:val="en-US" w:eastAsia="en-GB"/>
        </w:rPr>
        <w:t xml:space="preserve"> </w:t>
      </w:r>
      <w:r w:rsidR="004C5F9A" w:rsidRPr="00C915A8">
        <w:rPr>
          <w:rFonts w:ascii="Calibri" w:eastAsia="Times New Roman" w:hAnsi="Calibri" w:cs="Calibri"/>
          <w:lang w:val="en-US" w:eastAsia="en-GB"/>
        </w:rPr>
        <w:t xml:space="preserve">a 20.7% increase in net profit. This was achieved despite the accident at </w:t>
      </w:r>
      <w:proofErr w:type="spellStart"/>
      <w:r w:rsidR="004C5F9A" w:rsidRPr="00C915A8">
        <w:rPr>
          <w:rFonts w:ascii="Calibri" w:eastAsia="Times New Roman" w:hAnsi="Calibri" w:cs="Calibri"/>
          <w:lang w:val="en-US" w:eastAsia="en-GB"/>
        </w:rPr>
        <w:t>Ozerki</w:t>
      </w:r>
      <w:proofErr w:type="spellEnd"/>
      <w:r w:rsidR="004C5F9A">
        <w:rPr>
          <w:rFonts w:ascii="Calibri" w:eastAsia="Times New Roman" w:hAnsi="Calibri" w:cs="Calibri"/>
          <w:lang w:val="en-US" w:eastAsia="en-GB"/>
        </w:rPr>
        <w:t>,</w:t>
      </w:r>
      <w:r w:rsidR="004C5F9A" w:rsidRPr="00C915A8">
        <w:rPr>
          <w:rFonts w:ascii="Calibri" w:eastAsia="Times New Roman" w:hAnsi="Calibri" w:cs="Calibri"/>
          <w:lang w:val="en-US" w:eastAsia="en-GB"/>
        </w:rPr>
        <w:t xml:space="preserve"> the industry-wide cost increases and significant deceleration in food inflation</w:t>
      </w:r>
      <w:r w:rsidR="004C5F9A">
        <w:rPr>
          <w:rFonts w:ascii="Calibri" w:eastAsia="Times New Roman" w:hAnsi="Calibri" w:cs="Calibri"/>
          <w:lang w:val="en-US" w:eastAsia="en-GB"/>
        </w:rPr>
        <w:t xml:space="preserve"> – </w:t>
      </w:r>
      <w:r w:rsidR="004C5F9A" w:rsidRPr="00C915A8">
        <w:rPr>
          <w:rFonts w:ascii="Calibri" w:eastAsia="Times New Roman" w:hAnsi="Calibri" w:cs="Calibri"/>
          <w:lang w:val="en-US" w:eastAsia="en-GB"/>
        </w:rPr>
        <w:t>demonstrat</w:t>
      </w:r>
      <w:r w:rsidR="004C5F9A">
        <w:rPr>
          <w:rFonts w:ascii="Calibri" w:eastAsia="Times New Roman" w:hAnsi="Calibri" w:cs="Calibri"/>
          <w:lang w:val="en-US" w:eastAsia="en-GB"/>
        </w:rPr>
        <w:t>ing the resilience of O’K</w:t>
      </w:r>
      <w:r w:rsidR="00023F51">
        <w:rPr>
          <w:rFonts w:ascii="Calibri" w:eastAsia="Times New Roman" w:hAnsi="Calibri" w:cs="Calibri"/>
          <w:lang w:val="en-US" w:eastAsia="en-GB"/>
        </w:rPr>
        <w:t>EY’s</w:t>
      </w:r>
      <w:r w:rsidR="004C5F9A" w:rsidRPr="00C915A8">
        <w:rPr>
          <w:rFonts w:ascii="Calibri" w:eastAsia="Times New Roman" w:hAnsi="Calibri" w:cs="Calibri"/>
          <w:lang w:val="en-US" w:eastAsia="en-GB"/>
        </w:rPr>
        <w:t xml:space="preserve"> </w:t>
      </w:r>
      <w:r w:rsidR="00023F51">
        <w:rPr>
          <w:rFonts w:ascii="Calibri" w:eastAsia="Times New Roman" w:hAnsi="Calibri" w:cs="Calibri"/>
          <w:lang w:val="en-US" w:eastAsia="en-GB"/>
        </w:rPr>
        <w:t>business model</w:t>
      </w:r>
      <w:r w:rsidR="004C5F9A" w:rsidRPr="00C915A8">
        <w:rPr>
          <w:rFonts w:ascii="Calibri" w:eastAsia="Times New Roman" w:hAnsi="Calibri" w:cs="Calibri"/>
          <w:lang w:val="en-US" w:eastAsia="en-GB"/>
        </w:rPr>
        <w:t>. In an environment where a number of competitors were losing customers, we retained our customer base and maintained the strength of our brand.</w:t>
      </w:r>
      <w:r w:rsidR="004C5F9A">
        <w:rPr>
          <w:rFonts w:ascii="Calibri" w:eastAsia="Times New Roman" w:hAnsi="Calibri" w:cs="Calibri"/>
          <w:lang w:val="en-US" w:eastAsia="en-GB"/>
        </w:rPr>
        <w:t xml:space="preserve"> </w:t>
      </w:r>
    </w:p>
    <w:p w:rsidR="004C5F9A" w:rsidRDefault="004C5F9A" w:rsidP="004C5F9A">
      <w:pPr>
        <w:contextualSpacing/>
        <w:jc w:val="both"/>
        <w:rPr>
          <w:rFonts w:ascii="Calibri" w:eastAsia="Times New Roman" w:hAnsi="Calibri" w:cs="Calibri"/>
          <w:lang w:val="en-US" w:eastAsia="en-GB"/>
        </w:rPr>
      </w:pPr>
    </w:p>
    <w:p w:rsidR="00CD2DE9" w:rsidRDefault="004C5F9A" w:rsidP="004C5F9A">
      <w:pPr>
        <w:contextualSpacing/>
        <w:jc w:val="both"/>
        <w:rPr>
          <w:rFonts w:ascii="Calibri" w:eastAsia="Times New Roman" w:hAnsi="Calibri" w:cs="Calibri"/>
          <w:lang w:val="en-US" w:eastAsia="en-GB"/>
        </w:rPr>
      </w:pPr>
      <w:r w:rsidRPr="00C915A8">
        <w:rPr>
          <w:rFonts w:ascii="Calibri" w:eastAsia="Times New Roman" w:hAnsi="Calibri" w:cs="Calibri"/>
          <w:lang w:val="en-US" w:eastAsia="en-GB"/>
        </w:rPr>
        <w:t xml:space="preserve">We are delighted that we regained our loyal customer base following </w:t>
      </w:r>
      <w:r w:rsidR="00F0062B">
        <w:rPr>
          <w:rFonts w:ascii="Calibri" w:eastAsia="Times New Roman" w:hAnsi="Calibri" w:cs="Calibri"/>
          <w:lang w:val="en-US" w:eastAsia="en-GB"/>
        </w:rPr>
        <w:t>the</w:t>
      </w:r>
      <w:r>
        <w:rPr>
          <w:rFonts w:ascii="Calibri" w:eastAsia="Times New Roman" w:hAnsi="Calibri" w:cs="Calibri"/>
          <w:lang w:val="en-US" w:eastAsia="en-GB"/>
        </w:rPr>
        <w:t xml:space="preserve"> decline</w:t>
      </w:r>
      <w:r w:rsidR="00F0062B">
        <w:rPr>
          <w:rFonts w:ascii="Calibri" w:eastAsia="Times New Roman" w:hAnsi="Calibri" w:cs="Calibri"/>
          <w:lang w:val="en-US" w:eastAsia="en-GB"/>
        </w:rPr>
        <w:t xml:space="preserve"> in the beginning of the year</w:t>
      </w:r>
      <w:r w:rsidRPr="00C915A8">
        <w:rPr>
          <w:rFonts w:ascii="Calibri" w:eastAsia="Times New Roman" w:hAnsi="Calibri" w:cs="Calibri"/>
          <w:lang w:val="en-US" w:eastAsia="en-GB"/>
        </w:rPr>
        <w:t>. By the end of the year</w:t>
      </w:r>
      <w:r w:rsidR="00023F51">
        <w:rPr>
          <w:rFonts w:ascii="Calibri" w:eastAsia="Times New Roman" w:hAnsi="Calibri" w:cs="Calibri"/>
          <w:lang w:val="en-US" w:eastAsia="en-GB"/>
        </w:rPr>
        <w:t>,</w:t>
      </w:r>
      <w:r w:rsidRPr="00C915A8">
        <w:rPr>
          <w:rFonts w:ascii="Calibri" w:eastAsia="Times New Roman" w:hAnsi="Calibri" w:cs="Calibri"/>
          <w:lang w:val="en-US" w:eastAsia="en-GB"/>
        </w:rPr>
        <w:t xml:space="preserve"> the number of active loyalty cards had increased by 17.2% y-o-y and our LFL traffic increased from -2.8% in Q1 to -0.2% by the year end, supported by a very strong traffic inflow of 1.5% in Q4.</w:t>
      </w:r>
    </w:p>
    <w:p w:rsidR="00CD2DE9" w:rsidRDefault="00CD2DE9" w:rsidP="004C5F9A">
      <w:pPr>
        <w:contextualSpacing/>
        <w:jc w:val="both"/>
        <w:rPr>
          <w:rFonts w:ascii="Calibri" w:eastAsia="Times New Roman" w:hAnsi="Calibri" w:cs="Calibri"/>
          <w:lang w:val="en-US" w:eastAsia="en-GB"/>
        </w:rPr>
      </w:pPr>
    </w:p>
    <w:p w:rsidR="004C5F9A" w:rsidRPr="00C915A8" w:rsidRDefault="007D6ECA" w:rsidP="004C5F9A">
      <w:pPr>
        <w:contextualSpacing/>
        <w:jc w:val="both"/>
        <w:rPr>
          <w:rFonts w:ascii="Calibri" w:eastAsia="Times New Roman" w:hAnsi="Calibri" w:cs="Calibri"/>
          <w:lang w:val="en-US" w:eastAsia="en-GB"/>
        </w:rPr>
      </w:pPr>
      <w:r>
        <w:rPr>
          <w:rFonts w:ascii="Calibri" w:eastAsia="Times New Roman" w:hAnsi="Calibri" w:cs="Calibri"/>
          <w:lang w:val="en-US" w:eastAsia="en-GB"/>
        </w:rPr>
        <w:t>Significant increase in</w:t>
      </w:r>
      <w:r w:rsidR="00CD2DE9" w:rsidRPr="00F0062B">
        <w:rPr>
          <w:rFonts w:ascii="Calibri" w:eastAsia="Times New Roman" w:hAnsi="Calibri" w:cs="Calibri"/>
          <w:lang w:val="en-US" w:eastAsia="en-GB"/>
        </w:rPr>
        <w:t xml:space="preserve"> our gross margin </w:t>
      </w:r>
      <w:r w:rsidRPr="00F0062B">
        <w:rPr>
          <w:rFonts w:ascii="Calibri" w:eastAsia="Times New Roman" w:hAnsi="Calibri" w:cs="Calibri"/>
          <w:lang w:val="en-US" w:eastAsia="en-GB"/>
        </w:rPr>
        <w:t>was driven by</w:t>
      </w:r>
      <w:r w:rsidR="00CD2DE9" w:rsidRPr="00F0062B">
        <w:rPr>
          <w:rFonts w:ascii="Calibri" w:eastAsia="Times New Roman" w:hAnsi="Calibri" w:cs="Calibri"/>
          <w:lang w:val="en-US" w:eastAsia="en-GB"/>
        </w:rPr>
        <w:t xml:space="preserve"> </w:t>
      </w:r>
      <w:r w:rsidRPr="00F0062B">
        <w:rPr>
          <w:rFonts w:ascii="Calibri" w:eastAsia="Times New Roman" w:hAnsi="Calibri" w:cs="Calibri"/>
          <w:lang w:val="en-US" w:eastAsia="en-GB"/>
        </w:rPr>
        <w:t>general improvement in commercial terms due to the increased scale of our operations and growing purchasing power</w:t>
      </w:r>
      <w:r w:rsidR="00CD2DE9" w:rsidRPr="00F0062B">
        <w:rPr>
          <w:rFonts w:ascii="Calibri" w:eastAsia="Times New Roman" w:hAnsi="Calibri" w:cs="Calibri"/>
          <w:lang w:val="en-US" w:eastAsia="en-GB"/>
        </w:rPr>
        <w:t xml:space="preserve">, and </w:t>
      </w:r>
      <w:r w:rsidRPr="00F0062B">
        <w:rPr>
          <w:rFonts w:ascii="Calibri" w:eastAsia="Times New Roman" w:hAnsi="Calibri" w:cs="Calibri"/>
          <w:lang w:val="en-US" w:eastAsia="en-GB"/>
        </w:rPr>
        <w:t>further enhanced by price increases in July, which compensated for growing social taxes and utility charges</w:t>
      </w:r>
      <w:r w:rsidR="00CD2DE9" w:rsidRPr="00F0062B">
        <w:rPr>
          <w:rFonts w:ascii="Calibri" w:eastAsia="Times New Roman" w:hAnsi="Calibri" w:cs="Calibri"/>
          <w:lang w:val="en-US" w:eastAsia="en-GB"/>
        </w:rPr>
        <w:t>.</w:t>
      </w:r>
      <w:r w:rsidR="004C5F9A" w:rsidRPr="00C915A8">
        <w:rPr>
          <w:rFonts w:ascii="Calibri" w:eastAsia="Times New Roman" w:hAnsi="Calibri" w:cs="Calibri"/>
          <w:lang w:val="en-US" w:eastAsia="en-GB"/>
        </w:rPr>
        <w:t xml:space="preserve"> </w:t>
      </w:r>
    </w:p>
    <w:p w:rsidR="004C5F9A" w:rsidRDefault="004C5F9A" w:rsidP="004C5F9A">
      <w:pPr>
        <w:contextualSpacing/>
        <w:jc w:val="both"/>
        <w:rPr>
          <w:rFonts w:ascii="Calibri" w:eastAsia="Times New Roman" w:hAnsi="Calibri" w:cs="Calibri"/>
          <w:lang w:val="en-US" w:eastAsia="en-GB"/>
        </w:rPr>
      </w:pPr>
    </w:p>
    <w:p w:rsidR="007D6ECA" w:rsidRDefault="007D6ECA" w:rsidP="004C5F9A">
      <w:pPr>
        <w:contextualSpacing/>
        <w:jc w:val="both"/>
        <w:rPr>
          <w:rFonts w:ascii="Calibri" w:eastAsia="Times New Roman" w:hAnsi="Calibri" w:cs="Calibri"/>
          <w:lang w:val="en-US" w:eastAsia="en-GB"/>
        </w:rPr>
      </w:pPr>
      <w:r>
        <w:rPr>
          <w:rFonts w:ascii="Calibri" w:eastAsia="Times New Roman" w:hAnsi="Calibri" w:cs="Calibri"/>
          <w:lang w:val="en-US" w:eastAsia="en-GB"/>
        </w:rPr>
        <w:t xml:space="preserve">We are glad to report that actual EBITDA margin came above our expectations at the level of 8.1%. </w:t>
      </w:r>
      <w:r w:rsidR="00E20980">
        <w:rPr>
          <w:rFonts w:ascii="Calibri" w:eastAsia="Times New Roman" w:hAnsi="Calibri" w:cs="Calibri"/>
          <w:lang w:val="en-US" w:eastAsia="en-GB"/>
        </w:rPr>
        <w:t>Despite the</w:t>
      </w:r>
      <w:r>
        <w:rPr>
          <w:rFonts w:ascii="Calibri" w:eastAsia="Times New Roman" w:hAnsi="Calibri" w:cs="Calibri"/>
          <w:lang w:val="en-US" w:eastAsia="en-GB"/>
        </w:rPr>
        <w:t xml:space="preserve"> pressures </w:t>
      </w:r>
      <w:r w:rsidR="00E20980">
        <w:rPr>
          <w:rFonts w:ascii="Calibri" w:eastAsia="Times New Roman" w:hAnsi="Calibri" w:cs="Calibri"/>
          <w:lang w:val="en-US" w:eastAsia="en-GB"/>
        </w:rPr>
        <w:t xml:space="preserve">we faced </w:t>
      </w:r>
      <w:r>
        <w:rPr>
          <w:rFonts w:ascii="Calibri" w:eastAsia="Times New Roman" w:hAnsi="Calibri" w:cs="Calibri"/>
          <w:lang w:val="en-US" w:eastAsia="en-GB"/>
        </w:rPr>
        <w:t xml:space="preserve">from changes in legislation, liberalization of tariffs and </w:t>
      </w:r>
      <w:r w:rsidR="00E20980">
        <w:rPr>
          <w:rFonts w:ascii="Calibri" w:eastAsia="Times New Roman" w:hAnsi="Calibri" w:cs="Calibri"/>
          <w:lang w:val="en-US" w:eastAsia="en-GB"/>
        </w:rPr>
        <w:t>delayed openings, we</w:t>
      </w:r>
      <w:r>
        <w:rPr>
          <w:rFonts w:ascii="Calibri" w:eastAsia="Times New Roman" w:hAnsi="Calibri" w:cs="Calibri"/>
          <w:lang w:val="en-US" w:eastAsia="en-GB"/>
        </w:rPr>
        <w:t xml:space="preserve"> were </w:t>
      </w:r>
      <w:r w:rsidR="00E20980">
        <w:rPr>
          <w:rFonts w:ascii="Calibri" w:eastAsia="Times New Roman" w:hAnsi="Calibri" w:cs="Calibri"/>
          <w:lang w:val="en-US" w:eastAsia="en-GB"/>
        </w:rPr>
        <w:t>able to mitigate</w:t>
      </w:r>
      <w:r>
        <w:rPr>
          <w:rFonts w:ascii="Calibri" w:eastAsia="Times New Roman" w:hAnsi="Calibri" w:cs="Calibri"/>
          <w:lang w:val="en-US" w:eastAsia="en-GB"/>
        </w:rPr>
        <w:t xml:space="preserve"> </w:t>
      </w:r>
      <w:r w:rsidR="00E20980">
        <w:rPr>
          <w:rFonts w:ascii="Calibri" w:eastAsia="Times New Roman" w:hAnsi="Calibri" w:cs="Calibri"/>
          <w:lang w:val="en-US" w:eastAsia="en-GB"/>
        </w:rPr>
        <w:t xml:space="preserve">large part of it </w:t>
      </w:r>
      <w:r>
        <w:rPr>
          <w:rFonts w:ascii="Calibri" w:eastAsia="Times New Roman" w:hAnsi="Calibri" w:cs="Calibri"/>
          <w:lang w:val="en-US" w:eastAsia="en-GB"/>
        </w:rPr>
        <w:t xml:space="preserve">by </w:t>
      </w:r>
      <w:r w:rsidR="00E20980">
        <w:rPr>
          <w:rFonts w:ascii="Calibri" w:eastAsia="Times New Roman" w:hAnsi="Calibri" w:cs="Calibri"/>
          <w:lang w:val="en-US" w:eastAsia="en-GB"/>
        </w:rPr>
        <w:t>the improvements in purchasing conditions.</w:t>
      </w:r>
    </w:p>
    <w:p w:rsidR="007D6ECA" w:rsidRPr="00C915A8" w:rsidRDefault="007D6ECA" w:rsidP="004C5F9A">
      <w:pPr>
        <w:contextualSpacing/>
        <w:jc w:val="both"/>
        <w:rPr>
          <w:rFonts w:ascii="Calibri" w:eastAsia="Times New Roman" w:hAnsi="Calibri" w:cs="Calibri"/>
          <w:lang w:val="en-US" w:eastAsia="en-GB"/>
        </w:rPr>
      </w:pPr>
    </w:p>
    <w:p w:rsidR="004C5F9A" w:rsidRPr="00C915A8" w:rsidRDefault="004C5F9A" w:rsidP="004C5F9A">
      <w:pPr>
        <w:contextualSpacing/>
        <w:jc w:val="both"/>
        <w:rPr>
          <w:rFonts w:ascii="Calibri" w:eastAsia="Times New Roman" w:hAnsi="Calibri" w:cs="Calibri"/>
          <w:lang w:val="en-US" w:eastAsia="en-GB"/>
        </w:rPr>
      </w:pPr>
      <w:r w:rsidRPr="00C915A8">
        <w:rPr>
          <w:rFonts w:ascii="Calibri" w:eastAsia="Times New Roman" w:hAnsi="Calibri" w:cs="Calibri"/>
          <w:lang w:val="en-US" w:eastAsia="en-GB"/>
        </w:rPr>
        <w:t xml:space="preserve">The 25% increase in cash generated through our operations enabled us to finance a substantial part of our 2011 investment program </w:t>
      </w:r>
      <w:r>
        <w:rPr>
          <w:rFonts w:ascii="Calibri" w:eastAsia="Times New Roman" w:hAnsi="Calibri" w:cs="Calibri"/>
          <w:lang w:val="en-US" w:eastAsia="en-GB"/>
        </w:rPr>
        <w:t>using</w:t>
      </w:r>
      <w:r w:rsidRPr="00C915A8">
        <w:rPr>
          <w:rFonts w:ascii="Calibri" w:eastAsia="Times New Roman" w:hAnsi="Calibri" w:cs="Calibri"/>
          <w:lang w:val="en-US" w:eastAsia="en-GB"/>
        </w:rPr>
        <w:t xml:space="preserve"> our own resources</w:t>
      </w:r>
      <w:r>
        <w:rPr>
          <w:rFonts w:ascii="Calibri" w:eastAsia="Times New Roman" w:hAnsi="Calibri" w:cs="Calibri"/>
          <w:lang w:val="en-US" w:eastAsia="en-GB"/>
        </w:rPr>
        <w:t xml:space="preserve">, </w:t>
      </w:r>
      <w:r w:rsidRPr="000A6537">
        <w:rPr>
          <w:rFonts w:ascii="Calibri" w:eastAsia="Times New Roman" w:hAnsi="Calibri" w:cs="Calibri"/>
          <w:lang w:val="en-US" w:eastAsia="en-GB"/>
        </w:rPr>
        <w:t>keep</w:t>
      </w:r>
      <w:r>
        <w:rPr>
          <w:rFonts w:ascii="Calibri" w:eastAsia="Times New Roman" w:hAnsi="Calibri" w:cs="Calibri"/>
          <w:lang w:val="en-US" w:eastAsia="en-GB"/>
        </w:rPr>
        <w:t>ing</w:t>
      </w:r>
      <w:r w:rsidRPr="000A6537">
        <w:rPr>
          <w:rFonts w:ascii="Calibri" w:eastAsia="Times New Roman" w:hAnsi="Calibri" w:cs="Calibri"/>
          <w:lang w:val="en-US" w:eastAsia="en-GB"/>
        </w:rPr>
        <w:t xml:space="preserve"> indebtedness at a comfortable ratio of </w:t>
      </w:r>
      <w:r w:rsidRPr="004C5F9A">
        <w:rPr>
          <w:rFonts w:ascii="Calibri" w:eastAsia="Times New Roman" w:hAnsi="Calibri" w:cs="Calibri"/>
          <w:lang w:val="en-US" w:eastAsia="en-GB"/>
        </w:rPr>
        <w:t>1.2</w:t>
      </w:r>
      <w:r>
        <w:rPr>
          <w:rFonts w:ascii="Calibri" w:eastAsia="Times New Roman" w:hAnsi="Calibri" w:cs="Calibri"/>
          <w:lang w:val="en-US" w:eastAsia="en-GB"/>
        </w:rPr>
        <w:t>X</w:t>
      </w:r>
      <w:r w:rsidRPr="004C5F9A">
        <w:rPr>
          <w:rFonts w:ascii="Calibri" w:eastAsia="Times New Roman" w:hAnsi="Calibri" w:cs="Calibri"/>
          <w:lang w:val="en-US" w:eastAsia="en-GB"/>
        </w:rPr>
        <w:t xml:space="preserve"> </w:t>
      </w:r>
      <w:r w:rsidRPr="000A6537">
        <w:rPr>
          <w:rFonts w:ascii="Calibri" w:eastAsia="Times New Roman" w:hAnsi="Calibri" w:cs="Calibri"/>
          <w:lang w:val="en-US" w:eastAsia="en-GB"/>
        </w:rPr>
        <w:t>Net Debt/EBITDA.</w:t>
      </w:r>
      <w:r>
        <w:rPr>
          <w:rFonts w:ascii="Calibri" w:eastAsia="Times New Roman" w:hAnsi="Calibri" w:cs="Calibri"/>
          <w:lang w:val="en-US" w:eastAsia="en-GB"/>
        </w:rPr>
        <w:t xml:space="preserve"> </w:t>
      </w:r>
      <w:r w:rsidR="00746629">
        <w:rPr>
          <w:rFonts w:ascii="Calibri" w:eastAsia="Times New Roman" w:hAnsi="Calibri" w:cs="Calibri"/>
          <w:lang w:val="en-US" w:eastAsia="en-GB"/>
        </w:rPr>
        <w:t>Improvements in operating efficiency, cash management and increasing bargaining power with suppliers were supported</w:t>
      </w:r>
      <w:r w:rsidR="00780A68">
        <w:rPr>
          <w:rFonts w:ascii="Calibri" w:eastAsia="Times New Roman" w:hAnsi="Calibri" w:cs="Calibri"/>
          <w:lang w:val="en-US" w:eastAsia="en-GB"/>
        </w:rPr>
        <w:t xml:space="preserve"> </w:t>
      </w:r>
      <w:r w:rsidR="00746629">
        <w:rPr>
          <w:rFonts w:ascii="Calibri" w:eastAsia="Times New Roman" w:hAnsi="Calibri" w:cs="Calibri"/>
          <w:lang w:val="en-US" w:eastAsia="en-GB"/>
        </w:rPr>
        <w:t xml:space="preserve">by </w:t>
      </w:r>
      <w:r w:rsidRPr="00C915A8">
        <w:rPr>
          <w:rFonts w:ascii="Calibri" w:eastAsia="Times New Roman" w:hAnsi="Calibri" w:cs="Calibri"/>
          <w:lang w:val="en-US" w:eastAsia="en-GB"/>
        </w:rPr>
        <w:t xml:space="preserve">the </w:t>
      </w:r>
      <w:r w:rsidR="00780A68" w:rsidRPr="00C915A8">
        <w:rPr>
          <w:rFonts w:ascii="Calibri" w:eastAsia="Times New Roman" w:hAnsi="Calibri" w:cs="Calibri"/>
          <w:lang w:val="en-US" w:eastAsia="en-GB"/>
        </w:rPr>
        <w:t>centralization</w:t>
      </w:r>
      <w:r w:rsidRPr="00C915A8">
        <w:rPr>
          <w:rFonts w:ascii="Calibri" w:eastAsia="Times New Roman" w:hAnsi="Calibri" w:cs="Calibri"/>
          <w:lang w:val="en-US" w:eastAsia="en-GB"/>
        </w:rPr>
        <w:t xml:space="preserve"> of our purchasing function</w:t>
      </w:r>
      <w:r w:rsidR="007D6ECA">
        <w:rPr>
          <w:rFonts w:ascii="Calibri" w:eastAsia="Times New Roman" w:hAnsi="Calibri" w:cs="Calibri"/>
          <w:lang w:val="en-US" w:eastAsia="en-GB"/>
        </w:rPr>
        <w:t xml:space="preserve"> which was finalized in 2011.</w:t>
      </w:r>
    </w:p>
    <w:p w:rsidR="004C5F9A" w:rsidRPr="004C5F9A" w:rsidRDefault="004C5F9A" w:rsidP="004C5F9A">
      <w:pPr>
        <w:contextualSpacing/>
        <w:jc w:val="both"/>
        <w:rPr>
          <w:rFonts w:ascii="Calibri" w:eastAsia="Times New Roman" w:hAnsi="Calibri" w:cs="Calibri"/>
          <w:lang w:val="en-US" w:eastAsia="en-GB"/>
        </w:rPr>
      </w:pPr>
    </w:p>
    <w:p w:rsidR="004C5F9A" w:rsidRPr="004C5F9A" w:rsidRDefault="004C5F9A" w:rsidP="004C5F9A">
      <w:pPr>
        <w:contextualSpacing/>
        <w:jc w:val="both"/>
        <w:rPr>
          <w:rFonts w:ascii="Calibri" w:eastAsia="Times New Roman" w:hAnsi="Calibri" w:cs="Calibri"/>
          <w:lang w:val="en-US" w:eastAsia="en-GB"/>
        </w:rPr>
      </w:pPr>
      <w:r w:rsidRPr="004C5F9A">
        <w:rPr>
          <w:rFonts w:ascii="Calibri" w:eastAsia="Times New Roman" w:hAnsi="Calibri" w:cs="Calibri"/>
          <w:lang w:val="en-US" w:eastAsia="en-GB"/>
        </w:rPr>
        <w:lastRenderedPageBreak/>
        <w:t xml:space="preserve">Despite the challenges faced in 2011, we reaffirm </w:t>
      </w:r>
      <w:r w:rsidR="00023F51">
        <w:rPr>
          <w:rFonts w:ascii="Calibri" w:eastAsia="Times New Roman" w:hAnsi="Calibri" w:cs="Calibri"/>
          <w:lang w:val="en-US" w:eastAsia="en-GB"/>
        </w:rPr>
        <w:t>our</w:t>
      </w:r>
      <w:r w:rsidRPr="004C5F9A">
        <w:rPr>
          <w:rFonts w:ascii="Calibri" w:eastAsia="Times New Roman" w:hAnsi="Calibri" w:cs="Calibri"/>
          <w:lang w:val="en-US" w:eastAsia="en-GB"/>
        </w:rPr>
        <w:t xml:space="preserve"> long-term targets. We aim to expand our </w:t>
      </w:r>
      <w:r w:rsidR="00567B41">
        <w:rPr>
          <w:rFonts w:ascii="Calibri" w:eastAsia="Times New Roman" w:hAnsi="Calibri" w:cs="Calibri"/>
          <w:lang w:val="en-US" w:eastAsia="en-GB"/>
        </w:rPr>
        <w:t>hypermarket network organically</w:t>
      </w:r>
      <w:r w:rsidRPr="004C5F9A">
        <w:rPr>
          <w:rFonts w:ascii="Calibri" w:eastAsia="Times New Roman" w:hAnsi="Calibri" w:cs="Calibri"/>
          <w:lang w:val="en-US" w:eastAsia="en-GB"/>
        </w:rPr>
        <w:t xml:space="preserve"> at an annual rate of 30%, and we are also expan</w:t>
      </w:r>
      <w:r w:rsidR="004C6E3A">
        <w:rPr>
          <w:rFonts w:ascii="Calibri" w:eastAsia="Times New Roman" w:hAnsi="Calibri" w:cs="Calibri"/>
          <w:lang w:val="en-US" w:eastAsia="en-GB"/>
        </w:rPr>
        <w:t>ding</w:t>
      </w:r>
      <w:r w:rsidRPr="004C5F9A">
        <w:rPr>
          <w:rFonts w:ascii="Calibri" w:eastAsia="Times New Roman" w:hAnsi="Calibri" w:cs="Calibri"/>
          <w:lang w:val="en-US" w:eastAsia="en-GB"/>
        </w:rPr>
        <w:t xml:space="preserve"> our land bank to ensure we complete our planned store openings over the next two years. Our long-term profitability target remains at over 8% on the EBITDA line and as we continue to develop our range of </w:t>
      </w:r>
      <w:r w:rsidR="00567B41">
        <w:rPr>
          <w:rFonts w:ascii="Calibri" w:eastAsia="Times New Roman" w:hAnsi="Calibri" w:cs="Calibri"/>
          <w:lang w:val="en-US" w:eastAsia="en-GB"/>
        </w:rPr>
        <w:t xml:space="preserve">quality </w:t>
      </w:r>
      <w:r w:rsidRPr="004C5F9A">
        <w:rPr>
          <w:rFonts w:ascii="Calibri" w:eastAsia="Times New Roman" w:hAnsi="Calibri" w:cs="Calibri"/>
          <w:lang w:val="en-US" w:eastAsia="en-GB"/>
        </w:rPr>
        <w:t xml:space="preserve">products we will ensure that our prices remain </w:t>
      </w:r>
      <w:r w:rsidR="00746629">
        <w:rPr>
          <w:rFonts w:ascii="Calibri" w:eastAsia="Times New Roman" w:hAnsi="Calibri" w:cs="Calibri"/>
          <w:lang w:val="en-US" w:eastAsia="en-GB"/>
        </w:rPr>
        <w:t>very</w:t>
      </w:r>
      <w:r w:rsidRPr="004C5F9A">
        <w:rPr>
          <w:rFonts w:ascii="Calibri" w:eastAsia="Times New Roman" w:hAnsi="Calibri" w:cs="Calibri"/>
          <w:lang w:val="en-US" w:eastAsia="en-GB"/>
        </w:rPr>
        <w:t xml:space="preserve"> attractive in the market.”</w:t>
      </w:r>
    </w:p>
    <w:p w:rsidR="005B4857" w:rsidRPr="00C915A8" w:rsidRDefault="005B4857" w:rsidP="00567B41">
      <w:pPr>
        <w:contextualSpacing/>
        <w:jc w:val="both"/>
        <w:rPr>
          <w:rFonts w:ascii="Calibri" w:eastAsia="Times New Roman" w:hAnsi="Calibri" w:cs="Calibri"/>
          <w:lang w:val="en-US" w:eastAsia="en-GB"/>
        </w:rPr>
      </w:pPr>
    </w:p>
    <w:p w:rsidR="005B4857" w:rsidRPr="005B4857" w:rsidRDefault="005B4857" w:rsidP="005B4857">
      <w:pPr>
        <w:keepNext/>
        <w:keepLines/>
        <w:tabs>
          <w:tab w:val="left" w:pos="-720"/>
          <w:tab w:val="left" w:pos="0"/>
          <w:tab w:val="left" w:pos="720"/>
          <w:tab w:val="left" w:pos="1440"/>
        </w:tabs>
        <w:suppressAutoHyphens/>
        <w:spacing w:after="240"/>
        <w:rPr>
          <w:rFonts w:ascii="Calibri" w:eastAsia="Times New Roman" w:hAnsi="Calibri" w:cs="Calibri"/>
          <w:lang w:val="en-US" w:eastAsia="en-GB"/>
        </w:rPr>
      </w:pPr>
      <w:r w:rsidRPr="005B4857">
        <w:rPr>
          <w:rFonts w:ascii="Calibri" w:eastAsia="Times New Roman" w:hAnsi="Calibri" w:cs="Calibri"/>
          <w:b/>
          <w:lang w:val="en-US" w:eastAsia="en-GB"/>
        </w:rPr>
        <w:t>Financial performance</w:t>
      </w:r>
      <w:r w:rsidRPr="005B4857">
        <w:rPr>
          <w:rFonts w:ascii="Calibri" w:eastAsia="Times New Roman" w:hAnsi="Calibri" w:cs="Calibri"/>
          <w:lang w:val="en-US" w:eastAsia="en-GB"/>
        </w:rPr>
        <w:t xml:space="preserve"> </w:t>
      </w:r>
    </w:p>
    <w:p w:rsidR="005B4857" w:rsidRPr="005B4857" w:rsidRDefault="005B4857" w:rsidP="005B4857">
      <w:pPr>
        <w:keepNext/>
        <w:keepLines/>
        <w:tabs>
          <w:tab w:val="left" w:pos="-720"/>
          <w:tab w:val="left" w:pos="0"/>
          <w:tab w:val="left" w:pos="720"/>
          <w:tab w:val="left" w:pos="1440"/>
        </w:tabs>
        <w:suppressAutoHyphens/>
        <w:spacing w:after="240"/>
        <w:rPr>
          <w:rFonts w:ascii="Calibri" w:eastAsia="Times New Roman" w:hAnsi="Calibri" w:cs="Calibri"/>
          <w:b/>
          <w:bCs/>
          <w:i/>
          <w:iCs/>
          <w:lang w:val="en-US" w:eastAsia="en-GB"/>
        </w:rPr>
      </w:pPr>
      <w:r w:rsidRPr="005B4857">
        <w:rPr>
          <w:rFonts w:ascii="Calibri" w:eastAsia="Times New Roman" w:hAnsi="Calibri" w:cs="Calibri"/>
          <w:b/>
          <w:bCs/>
          <w:i/>
          <w:iCs/>
          <w:lang w:val="en-US" w:eastAsia="en-GB"/>
        </w:rPr>
        <w:t>Income Statement Highlights</w:t>
      </w:r>
    </w:p>
    <w:tbl>
      <w:tblPr>
        <w:tblW w:w="4461" w:type="pct"/>
        <w:tblInd w:w="108" w:type="dxa"/>
        <w:tblLayout w:type="fixed"/>
        <w:tblLook w:val="0000" w:firstRow="0" w:lastRow="0" w:firstColumn="0" w:lastColumn="0" w:noHBand="0" w:noVBand="0"/>
      </w:tblPr>
      <w:tblGrid>
        <w:gridCol w:w="4534"/>
        <w:gridCol w:w="1421"/>
        <w:gridCol w:w="1421"/>
        <w:gridCol w:w="1416"/>
      </w:tblGrid>
      <w:tr w:rsidR="00F0062B" w:rsidRPr="005B4857" w:rsidTr="00FF4DD3">
        <w:tc>
          <w:tcPr>
            <w:tcW w:w="2579" w:type="pct"/>
            <w:vAlign w:val="center"/>
          </w:tcPr>
          <w:p w:rsidR="00F0062B" w:rsidRPr="005B4857" w:rsidRDefault="00F0062B" w:rsidP="005B4857">
            <w:pPr>
              <w:numPr>
                <w:ilvl w:val="12"/>
                <w:numId w:val="0"/>
              </w:numPr>
              <w:rPr>
                <w:rFonts w:ascii="Calibri" w:eastAsia="Times New Roman" w:hAnsi="Calibri" w:cs="Calibri"/>
                <w:b/>
                <w:sz w:val="20"/>
                <w:szCs w:val="20"/>
                <w:lang w:val="en-GB" w:eastAsia="en-US"/>
              </w:rPr>
            </w:pPr>
            <w:r w:rsidRPr="005B4857">
              <w:rPr>
                <w:rFonts w:ascii="Calibri" w:eastAsia="Times New Roman" w:hAnsi="Calibri" w:cs="Calibri"/>
                <w:b/>
                <w:sz w:val="20"/>
                <w:szCs w:val="20"/>
                <w:lang w:val="en-GB" w:eastAsia="en-US"/>
              </w:rPr>
              <w:t>RUB millions, unless otherwise indicated</w:t>
            </w:r>
          </w:p>
        </w:tc>
        <w:tc>
          <w:tcPr>
            <w:tcW w:w="808" w:type="pct"/>
            <w:vAlign w:val="center"/>
          </w:tcPr>
          <w:p w:rsidR="00F0062B" w:rsidRPr="005B4857" w:rsidRDefault="00F0062B" w:rsidP="004F77D2">
            <w:pPr>
              <w:numPr>
                <w:ilvl w:val="12"/>
                <w:numId w:val="0"/>
              </w:numPr>
              <w:rPr>
                <w:rFonts w:ascii="Calibri" w:eastAsia="Times New Roman" w:hAnsi="Calibri" w:cs="Calibri"/>
                <w:b/>
                <w:bCs/>
                <w:sz w:val="20"/>
                <w:szCs w:val="20"/>
                <w:lang w:val="en-GB" w:eastAsia="en-US"/>
              </w:rPr>
            </w:pPr>
            <w:r>
              <w:rPr>
                <w:rFonts w:ascii="Calibri" w:eastAsia="Times New Roman" w:hAnsi="Calibri" w:cs="Calibri"/>
                <w:b/>
                <w:bCs/>
                <w:sz w:val="20"/>
                <w:szCs w:val="20"/>
                <w:lang w:val="en-GB" w:eastAsia="en-US"/>
              </w:rPr>
              <w:t>2011</w:t>
            </w:r>
          </w:p>
        </w:tc>
        <w:tc>
          <w:tcPr>
            <w:tcW w:w="808" w:type="pct"/>
            <w:vAlign w:val="center"/>
          </w:tcPr>
          <w:p w:rsidR="00F0062B" w:rsidRPr="005B4857" w:rsidRDefault="00F0062B" w:rsidP="006C6326">
            <w:pPr>
              <w:numPr>
                <w:ilvl w:val="12"/>
                <w:numId w:val="0"/>
              </w:numPr>
              <w:rPr>
                <w:rFonts w:ascii="Calibri" w:eastAsia="Times New Roman" w:hAnsi="Calibri" w:cs="Calibri"/>
                <w:b/>
                <w:bCs/>
                <w:sz w:val="20"/>
                <w:szCs w:val="20"/>
                <w:lang w:val="en-GB" w:eastAsia="en-US"/>
              </w:rPr>
            </w:pPr>
            <w:r>
              <w:rPr>
                <w:rFonts w:ascii="Calibri" w:eastAsia="Times New Roman" w:hAnsi="Calibri" w:cs="Calibri"/>
                <w:b/>
                <w:bCs/>
                <w:sz w:val="20"/>
                <w:szCs w:val="20"/>
                <w:lang w:val="en-GB" w:eastAsia="en-US"/>
              </w:rPr>
              <w:t>2010 (Restated*)</w:t>
            </w:r>
          </w:p>
        </w:tc>
        <w:tc>
          <w:tcPr>
            <w:tcW w:w="806" w:type="pct"/>
            <w:vAlign w:val="center"/>
          </w:tcPr>
          <w:p w:rsidR="00F0062B" w:rsidRPr="005B4857" w:rsidRDefault="00F0062B" w:rsidP="006C6326">
            <w:pPr>
              <w:numPr>
                <w:ilvl w:val="12"/>
                <w:numId w:val="0"/>
              </w:numPr>
              <w:rPr>
                <w:rFonts w:ascii="Calibri" w:eastAsia="Times New Roman" w:hAnsi="Calibri" w:cs="Calibri"/>
                <w:b/>
                <w:bCs/>
                <w:sz w:val="20"/>
                <w:szCs w:val="20"/>
                <w:lang w:val="en-GB" w:eastAsia="en-US"/>
              </w:rPr>
            </w:pPr>
            <w:r w:rsidRPr="005B4857">
              <w:rPr>
                <w:rFonts w:ascii="Calibri" w:eastAsia="Times New Roman" w:hAnsi="Calibri" w:cs="Calibri"/>
                <w:b/>
                <w:bCs/>
                <w:sz w:val="20"/>
                <w:szCs w:val="20"/>
                <w:lang w:val="en-GB" w:eastAsia="en-US"/>
              </w:rPr>
              <w:t>Change 20</w:t>
            </w:r>
            <w:r>
              <w:rPr>
                <w:rFonts w:ascii="Calibri" w:eastAsia="Times New Roman" w:hAnsi="Calibri" w:cs="Calibri"/>
                <w:b/>
                <w:bCs/>
                <w:sz w:val="20"/>
                <w:szCs w:val="20"/>
                <w:lang w:val="en-GB" w:eastAsia="en-US"/>
              </w:rPr>
              <w:t>10/2011</w:t>
            </w:r>
          </w:p>
        </w:tc>
      </w:tr>
      <w:tr w:rsidR="00F0062B" w:rsidRPr="005B4857" w:rsidTr="00F0062B">
        <w:trPr>
          <w:trHeight w:val="85"/>
        </w:trPr>
        <w:tc>
          <w:tcPr>
            <w:tcW w:w="2579" w:type="pct"/>
          </w:tcPr>
          <w:p w:rsidR="00F0062B" w:rsidRPr="005B4857" w:rsidRDefault="00F0062B" w:rsidP="005B4857">
            <w:pPr>
              <w:numPr>
                <w:ilvl w:val="12"/>
                <w:numId w:val="0"/>
              </w:numPr>
              <w:rPr>
                <w:rFonts w:ascii="Calibri" w:eastAsia="Times New Roman" w:hAnsi="Calibri" w:cs="Calibri"/>
                <w:b/>
                <w:lang w:val="en-GB" w:eastAsia="en-US"/>
              </w:rPr>
            </w:pPr>
          </w:p>
        </w:tc>
        <w:tc>
          <w:tcPr>
            <w:tcW w:w="808" w:type="pct"/>
          </w:tcPr>
          <w:p w:rsidR="00F0062B" w:rsidRPr="005B4857" w:rsidRDefault="00F0062B" w:rsidP="004F77D2">
            <w:pPr>
              <w:numPr>
                <w:ilvl w:val="12"/>
                <w:numId w:val="0"/>
              </w:numPr>
              <w:tabs>
                <w:tab w:val="decimal" w:pos="1771"/>
              </w:tabs>
              <w:ind w:right="57"/>
              <w:jc w:val="right"/>
              <w:rPr>
                <w:rFonts w:ascii="Calibri" w:eastAsia="Times New Roman" w:hAnsi="Calibri" w:cs="Calibri"/>
                <w:lang w:val="en-GB" w:eastAsia="en-US"/>
              </w:rPr>
            </w:pPr>
          </w:p>
        </w:tc>
        <w:tc>
          <w:tcPr>
            <w:tcW w:w="808" w:type="pct"/>
          </w:tcPr>
          <w:p w:rsidR="00F0062B" w:rsidRPr="005B4857" w:rsidRDefault="00F0062B" w:rsidP="005B4857">
            <w:pPr>
              <w:numPr>
                <w:ilvl w:val="12"/>
                <w:numId w:val="0"/>
              </w:numPr>
              <w:tabs>
                <w:tab w:val="decimal" w:pos="1771"/>
              </w:tabs>
              <w:ind w:right="57"/>
              <w:rPr>
                <w:rFonts w:ascii="Calibri" w:eastAsia="Times New Roman" w:hAnsi="Calibri" w:cs="Calibri"/>
                <w:lang w:val="en-GB" w:eastAsia="en-US"/>
              </w:rPr>
            </w:pPr>
          </w:p>
        </w:tc>
        <w:tc>
          <w:tcPr>
            <w:tcW w:w="806" w:type="pct"/>
          </w:tcPr>
          <w:p w:rsidR="00F0062B" w:rsidRPr="005B4857" w:rsidRDefault="00F0062B" w:rsidP="005B4857">
            <w:pPr>
              <w:numPr>
                <w:ilvl w:val="12"/>
                <w:numId w:val="0"/>
              </w:numPr>
              <w:tabs>
                <w:tab w:val="decimal" w:pos="1771"/>
              </w:tabs>
              <w:ind w:right="57"/>
              <w:rPr>
                <w:rFonts w:ascii="Calibri" w:eastAsia="Times New Roman" w:hAnsi="Calibri" w:cs="Calibri"/>
                <w:lang w:val="en-GB" w:eastAsia="en-US"/>
              </w:rPr>
            </w:pPr>
          </w:p>
        </w:tc>
      </w:tr>
      <w:tr w:rsidR="00F0062B" w:rsidRPr="005B4857" w:rsidTr="00F0062B">
        <w:trPr>
          <w:trHeight w:val="329"/>
        </w:trPr>
        <w:tc>
          <w:tcPr>
            <w:tcW w:w="2579" w:type="pct"/>
          </w:tcPr>
          <w:p w:rsidR="00F0062B" w:rsidRPr="005B4857" w:rsidRDefault="00F0062B" w:rsidP="005B4857">
            <w:pPr>
              <w:numPr>
                <w:ilvl w:val="12"/>
                <w:numId w:val="0"/>
              </w:numPr>
              <w:rPr>
                <w:rFonts w:ascii="Calibri" w:eastAsia="Times New Roman" w:hAnsi="Calibri" w:cs="Calibri"/>
                <w:lang w:val="en-GB" w:eastAsia="en-US"/>
              </w:rPr>
            </w:pPr>
            <w:r w:rsidRPr="005B4857">
              <w:rPr>
                <w:rFonts w:ascii="Calibri" w:eastAsia="Times New Roman" w:hAnsi="Calibri" w:cs="Calibri"/>
                <w:lang w:val="en-GB" w:eastAsia="en-US"/>
              </w:rPr>
              <w:t>Revenue</w:t>
            </w:r>
          </w:p>
        </w:tc>
        <w:tc>
          <w:tcPr>
            <w:tcW w:w="808" w:type="pct"/>
          </w:tcPr>
          <w:p w:rsidR="00F0062B" w:rsidRPr="005B4857" w:rsidRDefault="00F0062B" w:rsidP="004F77D2">
            <w:pPr>
              <w:numPr>
                <w:ilvl w:val="12"/>
                <w:numId w:val="0"/>
              </w:numPr>
              <w:ind w:right="57"/>
              <w:rPr>
                <w:rFonts w:ascii="Calibri" w:eastAsia="Times New Roman" w:hAnsi="Calibri" w:cs="Calibri"/>
                <w:lang w:val="en-GB" w:eastAsia="en-US"/>
              </w:rPr>
            </w:pPr>
            <w:r>
              <w:rPr>
                <w:rFonts w:ascii="Calibri" w:eastAsia="Times New Roman" w:hAnsi="Calibri" w:cs="Calibri"/>
                <w:lang w:val="en-GB" w:eastAsia="en-US"/>
              </w:rPr>
              <w:t>93</w:t>
            </w:r>
            <w:r w:rsidRPr="005B4857">
              <w:rPr>
                <w:rFonts w:ascii="Calibri" w:eastAsia="Times New Roman" w:hAnsi="Calibri" w:cs="Calibri"/>
                <w:lang w:val="en-GB" w:eastAsia="en-US"/>
              </w:rPr>
              <w:t>,</w:t>
            </w:r>
            <w:r>
              <w:rPr>
                <w:rFonts w:ascii="Calibri" w:eastAsia="Times New Roman" w:hAnsi="Calibri" w:cs="Calibri"/>
                <w:lang w:val="en-GB" w:eastAsia="en-US"/>
              </w:rPr>
              <w:t>134.4</w:t>
            </w:r>
          </w:p>
        </w:tc>
        <w:tc>
          <w:tcPr>
            <w:tcW w:w="808" w:type="pct"/>
          </w:tcPr>
          <w:p w:rsidR="00F0062B" w:rsidRPr="005B4857" w:rsidRDefault="00F0062B" w:rsidP="00F503D9">
            <w:pPr>
              <w:numPr>
                <w:ilvl w:val="12"/>
                <w:numId w:val="0"/>
              </w:numPr>
              <w:ind w:right="57"/>
              <w:rPr>
                <w:rFonts w:ascii="Calibri" w:eastAsia="Times New Roman" w:hAnsi="Calibri" w:cs="Calibri"/>
                <w:lang w:val="en-GB" w:eastAsia="en-US"/>
              </w:rPr>
            </w:pPr>
            <w:r w:rsidRPr="005B4857">
              <w:rPr>
                <w:rFonts w:ascii="Calibri" w:eastAsia="Times New Roman" w:hAnsi="Calibri" w:cs="Calibri"/>
                <w:lang w:val="en-GB" w:eastAsia="en-US"/>
              </w:rPr>
              <w:t>82,666.6</w:t>
            </w:r>
          </w:p>
        </w:tc>
        <w:tc>
          <w:tcPr>
            <w:tcW w:w="806" w:type="pct"/>
          </w:tcPr>
          <w:p w:rsidR="00F0062B" w:rsidRPr="005B4857" w:rsidRDefault="00F0062B" w:rsidP="00F503D9">
            <w:pPr>
              <w:numPr>
                <w:ilvl w:val="12"/>
                <w:numId w:val="0"/>
              </w:numPr>
              <w:ind w:right="57"/>
              <w:rPr>
                <w:rFonts w:ascii="Calibri" w:eastAsia="Times New Roman" w:hAnsi="Calibri" w:cs="Calibri"/>
                <w:lang w:val="en-GB" w:eastAsia="en-US"/>
              </w:rPr>
            </w:pPr>
            <w:r>
              <w:rPr>
                <w:rFonts w:ascii="Calibri" w:eastAsia="Times New Roman" w:hAnsi="Calibri" w:cs="Calibri"/>
                <w:lang w:val="en-GB" w:eastAsia="en-US"/>
              </w:rPr>
              <w:t>12.7</w:t>
            </w:r>
            <w:r w:rsidRPr="005B4857">
              <w:rPr>
                <w:rFonts w:ascii="Calibri" w:eastAsia="Times New Roman" w:hAnsi="Calibri" w:cs="Calibri"/>
                <w:lang w:val="en-GB" w:eastAsia="en-US"/>
              </w:rPr>
              <w:t>%</w:t>
            </w:r>
          </w:p>
        </w:tc>
      </w:tr>
      <w:tr w:rsidR="00F0062B" w:rsidRPr="005B4857" w:rsidTr="00F0062B">
        <w:tc>
          <w:tcPr>
            <w:tcW w:w="2579" w:type="pct"/>
          </w:tcPr>
          <w:p w:rsidR="00F0062B" w:rsidRPr="005B4857" w:rsidRDefault="00F0062B" w:rsidP="005B4857">
            <w:pPr>
              <w:numPr>
                <w:ilvl w:val="12"/>
                <w:numId w:val="0"/>
              </w:numPr>
              <w:rPr>
                <w:rFonts w:ascii="Calibri" w:eastAsia="Times New Roman" w:hAnsi="Calibri" w:cs="Calibri"/>
                <w:b/>
                <w:lang w:val="en-GB" w:eastAsia="en-US"/>
              </w:rPr>
            </w:pPr>
            <w:r w:rsidRPr="005B4857">
              <w:rPr>
                <w:rFonts w:ascii="Calibri" w:eastAsia="Times New Roman" w:hAnsi="Calibri" w:cs="Calibri"/>
                <w:b/>
                <w:lang w:val="en-GB" w:eastAsia="en-US"/>
              </w:rPr>
              <w:t>Gross profit</w:t>
            </w:r>
          </w:p>
        </w:tc>
        <w:tc>
          <w:tcPr>
            <w:tcW w:w="808" w:type="pct"/>
          </w:tcPr>
          <w:p w:rsidR="00F0062B" w:rsidRPr="005B4857" w:rsidRDefault="00F0062B" w:rsidP="004F77D2">
            <w:pPr>
              <w:numPr>
                <w:ilvl w:val="12"/>
                <w:numId w:val="0"/>
              </w:numPr>
              <w:ind w:right="57"/>
              <w:rPr>
                <w:rFonts w:ascii="Calibri" w:eastAsia="Times New Roman" w:hAnsi="Calibri" w:cs="Calibri"/>
                <w:b/>
                <w:lang w:val="en-GB" w:eastAsia="en-US"/>
              </w:rPr>
            </w:pPr>
            <w:r>
              <w:rPr>
                <w:rFonts w:ascii="Calibri" w:eastAsia="Times New Roman" w:hAnsi="Calibri" w:cs="Calibri"/>
                <w:b/>
                <w:lang w:val="en-GB" w:eastAsia="en-US"/>
              </w:rPr>
              <w:t>21,281</w:t>
            </w:r>
            <w:r w:rsidRPr="005B4857">
              <w:rPr>
                <w:rFonts w:ascii="Calibri" w:eastAsia="Times New Roman" w:hAnsi="Calibri" w:cs="Calibri"/>
                <w:b/>
                <w:lang w:val="en-GB" w:eastAsia="en-US"/>
              </w:rPr>
              <w:t>.0</w:t>
            </w:r>
          </w:p>
        </w:tc>
        <w:tc>
          <w:tcPr>
            <w:tcW w:w="808" w:type="pct"/>
          </w:tcPr>
          <w:p w:rsidR="00F0062B" w:rsidRPr="005B4857" w:rsidRDefault="00F0062B" w:rsidP="00F503D9">
            <w:pPr>
              <w:numPr>
                <w:ilvl w:val="12"/>
                <w:numId w:val="0"/>
              </w:numPr>
              <w:ind w:right="57"/>
              <w:rPr>
                <w:rFonts w:ascii="Calibri" w:eastAsia="Times New Roman" w:hAnsi="Calibri" w:cs="Calibri"/>
                <w:b/>
                <w:lang w:val="en-GB" w:eastAsia="en-US"/>
              </w:rPr>
            </w:pPr>
            <w:r w:rsidRPr="005B4857">
              <w:rPr>
                <w:rFonts w:ascii="Calibri" w:eastAsia="Times New Roman" w:hAnsi="Calibri" w:cs="Calibri"/>
                <w:b/>
                <w:lang w:val="en-GB" w:eastAsia="en-US"/>
              </w:rPr>
              <w:t>17,924.0</w:t>
            </w:r>
          </w:p>
        </w:tc>
        <w:tc>
          <w:tcPr>
            <w:tcW w:w="806" w:type="pct"/>
          </w:tcPr>
          <w:p w:rsidR="00F0062B" w:rsidRPr="005B4857" w:rsidRDefault="00F0062B" w:rsidP="00F503D9">
            <w:pPr>
              <w:numPr>
                <w:ilvl w:val="12"/>
                <w:numId w:val="0"/>
              </w:numPr>
              <w:ind w:right="57"/>
              <w:rPr>
                <w:rFonts w:ascii="Calibri" w:eastAsia="Times New Roman" w:hAnsi="Calibri" w:cs="Calibri"/>
                <w:b/>
                <w:lang w:val="en-GB" w:eastAsia="en-US"/>
              </w:rPr>
            </w:pPr>
            <w:r w:rsidRPr="005B4857">
              <w:rPr>
                <w:rFonts w:ascii="Calibri" w:eastAsia="Times New Roman" w:hAnsi="Calibri" w:cs="Calibri"/>
                <w:b/>
                <w:lang w:val="en-GB" w:eastAsia="en-US"/>
              </w:rPr>
              <w:t>1</w:t>
            </w:r>
            <w:r>
              <w:rPr>
                <w:rFonts w:ascii="Calibri" w:eastAsia="Times New Roman" w:hAnsi="Calibri" w:cs="Calibri"/>
                <w:b/>
                <w:lang w:val="en-GB" w:eastAsia="en-US"/>
              </w:rPr>
              <w:t>8.7</w:t>
            </w:r>
            <w:r w:rsidRPr="005B4857">
              <w:rPr>
                <w:rFonts w:ascii="Calibri" w:eastAsia="Times New Roman" w:hAnsi="Calibri" w:cs="Calibri"/>
                <w:b/>
                <w:lang w:val="en-GB" w:eastAsia="en-US"/>
              </w:rPr>
              <w:t>%</w:t>
            </w:r>
          </w:p>
        </w:tc>
      </w:tr>
      <w:tr w:rsidR="00F0062B" w:rsidRPr="005B4857" w:rsidTr="00F0062B">
        <w:tc>
          <w:tcPr>
            <w:tcW w:w="2579" w:type="pct"/>
          </w:tcPr>
          <w:p w:rsidR="00F0062B" w:rsidRPr="005B4857" w:rsidRDefault="00F0062B" w:rsidP="005B4857">
            <w:pPr>
              <w:numPr>
                <w:ilvl w:val="12"/>
                <w:numId w:val="0"/>
              </w:numPr>
              <w:rPr>
                <w:rFonts w:ascii="Calibri" w:eastAsia="Times New Roman" w:hAnsi="Calibri" w:cs="Calibri"/>
                <w:lang w:val="en-GB" w:eastAsia="en-US"/>
              </w:rPr>
            </w:pPr>
            <w:r w:rsidRPr="005B4857">
              <w:rPr>
                <w:rFonts w:ascii="Calibri" w:eastAsia="Times New Roman" w:hAnsi="Calibri" w:cs="Calibri"/>
                <w:lang w:val="en-GB" w:eastAsia="en-US"/>
              </w:rPr>
              <w:t>Gross Margin</w:t>
            </w:r>
          </w:p>
        </w:tc>
        <w:tc>
          <w:tcPr>
            <w:tcW w:w="808" w:type="pct"/>
          </w:tcPr>
          <w:p w:rsidR="00F0062B" w:rsidRPr="005B4857" w:rsidRDefault="00F0062B" w:rsidP="004F77D2">
            <w:pPr>
              <w:numPr>
                <w:ilvl w:val="12"/>
                <w:numId w:val="0"/>
              </w:numPr>
              <w:ind w:right="57"/>
              <w:rPr>
                <w:rFonts w:ascii="Calibri" w:eastAsia="Times New Roman" w:hAnsi="Calibri" w:cs="Calibri"/>
                <w:lang w:val="en-GB" w:eastAsia="en-US"/>
              </w:rPr>
            </w:pPr>
            <w:r>
              <w:rPr>
                <w:rFonts w:ascii="Calibri" w:eastAsia="Times New Roman" w:hAnsi="Calibri" w:cs="Calibri"/>
                <w:lang w:val="en-GB" w:eastAsia="en-US"/>
              </w:rPr>
              <w:t>22.8</w:t>
            </w:r>
            <w:r w:rsidRPr="005B4857">
              <w:rPr>
                <w:rFonts w:ascii="Calibri" w:eastAsia="Times New Roman" w:hAnsi="Calibri" w:cs="Calibri"/>
                <w:lang w:val="en-GB" w:eastAsia="en-US"/>
              </w:rPr>
              <w:t>%</w:t>
            </w:r>
          </w:p>
        </w:tc>
        <w:tc>
          <w:tcPr>
            <w:tcW w:w="808" w:type="pct"/>
          </w:tcPr>
          <w:p w:rsidR="00F0062B" w:rsidRPr="005B4857" w:rsidRDefault="00F0062B" w:rsidP="00F503D9">
            <w:pPr>
              <w:numPr>
                <w:ilvl w:val="12"/>
                <w:numId w:val="0"/>
              </w:numPr>
              <w:ind w:right="57"/>
              <w:rPr>
                <w:rFonts w:ascii="Calibri" w:eastAsia="Times New Roman" w:hAnsi="Calibri" w:cs="Calibri"/>
                <w:lang w:val="en-GB" w:eastAsia="en-US"/>
              </w:rPr>
            </w:pPr>
            <w:r>
              <w:rPr>
                <w:rFonts w:ascii="Calibri" w:eastAsia="Times New Roman" w:hAnsi="Calibri" w:cs="Calibri"/>
                <w:lang w:val="en-GB" w:eastAsia="en-US"/>
              </w:rPr>
              <w:t>21.7</w:t>
            </w:r>
            <w:r w:rsidRPr="005B4857">
              <w:rPr>
                <w:rFonts w:ascii="Calibri" w:eastAsia="Times New Roman" w:hAnsi="Calibri" w:cs="Calibri"/>
                <w:lang w:val="en-GB" w:eastAsia="en-US"/>
              </w:rPr>
              <w:t>%</w:t>
            </w:r>
          </w:p>
        </w:tc>
        <w:tc>
          <w:tcPr>
            <w:tcW w:w="806" w:type="pct"/>
          </w:tcPr>
          <w:p w:rsidR="00F0062B" w:rsidRPr="005B4857" w:rsidRDefault="00F0062B" w:rsidP="00F503D9">
            <w:pPr>
              <w:numPr>
                <w:ilvl w:val="12"/>
                <w:numId w:val="0"/>
              </w:numPr>
              <w:ind w:right="57"/>
              <w:rPr>
                <w:rFonts w:ascii="Calibri" w:eastAsia="Times New Roman" w:hAnsi="Calibri" w:cs="Calibri"/>
                <w:lang w:val="en-GB" w:eastAsia="en-US"/>
              </w:rPr>
            </w:pPr>
            <w:r>
              <w:rPr>
                <w:rFonts w:ascii="Calibri" w:eastAsia="Times New Roman" w:hAnsi="Calibri" w:cs="Calibri"/>
                <w:lang w:val="en-GB" w:eastAsia="en-US"/>
              </w:rPr>
              <w:t>1.1 p.p.</w:t>
            </w:r>
          </w:p>
        </w:tc>
      </w:tr>
      <w:tr w:rsidR="00F0062B" w:rsidRPr="005B4857" w:rsidTr="00F0062B">
        <w:tc>
          <w:tcPr>
            <w:tcW w:w="2579" w:type="pct"/>
          </w:tcPr>
          <w:p w:rsidR="00F0062B" w:rsidRPr="005B4857" w:rsidRDefault="00F0062B" w:rsidP="005B4857">
            <w:pPr>
              <w:numPr>
                <w:ilvl w:val="12"/>
                <w:numId w:val="0"/>
              </w:numPr>
              <w:rPr>
                <w:rFonts w:ascii="Calibri" w:eastAsia="Times New Roman" w:hAnsi="Calibri" w:cs="Calibri"/>
                <w:b/>
                <w:lang w:val="en-GB" w:eastAsia="en-US"/>
              </w:rPr>
            </w:pPr>
            <w:r w:rsidRPr="005B4857">
              <w:rPr>
                <w:rFonts w:ascii="Calibri" w:eastAsia="Times New Roman" w:hAnsi="Calibri" w:cs="Calibri"/>
                <w:b/>
                <w:lang w:val="en-GB" w:eastAsia="en-US"/>
              </w:rPr>
              <w:t>EBITDA</w:t>
            </w:r>
          </w:p>
        </w:tc>
        <w:tc>
          <w:tcPr>
            <w:tcW w:w="808" w:type="pct"/>
          </w:tcPr>
          <w:p w:rsidR="00F0062B" w:rsidRPr="004C77BA" w:rsidRDefault="00F0062B" w:rsidP="004F77D2">
            <w:pPr>
              <w:numPr>
                <w:ilvl w:val="12"/>
                <w:numId w:val="0"/>
              </w:numPr>
              <w:ind w:right="57"/>
              <w:rPr>
                <w:rFonts w:ascii="Calibri" w:eastAsia="Times New Roman" w:hAnsi="Calibri" w:cs="Calibri"/>
                <w:b/>
                <w:lang w:val="en-GB" w:eastAsia="en-US"/>
              </w:rPr>
            </w:pPr>
            <w:r w:rsidRPr="004C77BA">
              <w:rPr>
                <w:rFonts w:ascii="Calibri" w:eastAsia="Times New Roman" w:hAnsi="Calibri" w:cs="Calibri"/>
                <w:b/>
                <w:lang w:val="en-GB" w:eastAsia="en-US"/>
              </w:rPr>
              <w:t>7,510.1</w:t>
            </w:r>
          </w:p>
        </w:tc>
        <w:tc>
          <w:tcPr>
            <w:tcW w:w="808" w:type="pct"/>
          </w:tcPr>
          <w:p w:rsidR="00F0062B" w:rsidRPr="004C77BA" w:rsidRDefault="00F0062B" w:rsidP="00F503D9">
            <w:pPr>
              <w:numPr>
                <w:ilvl w:val="12"/>
                <w:numId w:val="0"/>
              </w:numPr>
              <w:ind w:right="57"/>
              <w:rPr>
                <w:rFonts w:ascii="Calibri" w:eastAsia="Times New Roman" w:hAnsi="Calibri" w:cs="Calibri"/>
                <w:b/>
                <w:lang w:val="en-GB" w:eastAsia="en-US"/>
              </w:rPr>
            </w:pPr>
            <w:r w:rsidRPr="004C77BA">
              <w:rPr>
                <w:rFonts w:ascii="Calibri" w:eastAsia="Times New Roman" w:hAnsi="Calibri" w:cs="Calibri"/>
                <w:b/>
                <w:lang w:val="en-GB" w:eastAsia="en-US"/>
              </w:rPr>
              <w:t>7,126.7</w:t>
            </w:r>
          </w:p>
        </w:tc>
        <w:tc>
          <w:tcPr>
            <w:tcW w:w="806" w:type="pct"/>
          </w:tcPr>
          <w:p w:rsidR="00F0062B" w:rsidRPr="004C77BA" w:rsidRDefault="00F0062B" w:rsidP="00F503D9">
            <w:pPr>
              <w:numPr>
                <w:ilvl w:val="12"/>
                <w:numId w:val="0"/>
              </w:numPr>
              <w:ind w:right="57"/>
              <w:rPr>
                <w:rFonts w:ascii="Calibri" w:eastAsia="Times New Roman" w:hAnsi="Calibri" w:cs="Calibri"/>
                <w:b/>
                <w:lang w:val="en-GB" w:eastAsia="en-US"/>
              </w:rPr>
            </w:pPr>
            <w:r w:rsidRPr="004C77BA">
              <w:rPr>
                <w:rFonts w:ascii="Calibri" w:eastAsia="Times New Roman" w:hAnsi="Calibri" w:cs="Calibri"/>
                <w:b/>
                <w:lang w:val="en-GB" w:eastAsia="en-US"/>
              </w:rPr>
              <w:t>5.4%</w:t>
            </w:r>
          </w:p>
        </w:tc>
      </w:tr>
      <w:tr w:rsidR="00F0062B" w:rsidRPr="005B4857" w:rsidTr="00F0062B">
        <w:tc>
          <w:tcPr>
            <w:tcW w:w="2579" w:type="pct"/>
          </w:tcPr>
          <w:p w:rsidR="00F0062B" w:rsidRPr="005B4857" w:rsidRDefault="00F0062B" w:rsidP="005B4857">
            <w:pPr>
              <w:numPr>
                <w:ilvl w:val="12"/>
                <w:numId w:val="0"/>
              </w:numPr>
              <w:rPr>
                <w:rFonts w:ascii="Calibri" w:eastAsia="Times New Roman" w:hAnsi="Calibri" w:cs="Calibri"/>
                <w:i/>
                <w:lang w:val="en-GB" w:eastAsia="en-US"/>
              </w:rPr>
            </w:pPr>
            <w:r w:rsidRPr="005B4857">
              <w:rPr>
                <w:rFonts w:ascii="Calibri" w:eastAsia="Times New Roman" w:hAnsi="Calibri" w:cs="Calibri"/>
                <w:i/>
                <w:lang w:val="en-GB" w:eastAsia="en-US"/>
              </w:rPr>
              <w:t>EBITDA Margin</w:t>
            </w:r>
          </w:p>
        </w:tc>
        <w:tc>
          <w:tcPr>
            <w:tcW w:w="808" w:type="pct"/>
          </w:tcPr>
          <w:p w:rsidR="00F0062B" w:rsidRPr="004C77BA" w:rsidRDefault="00F0062B" w:rsidP="004F77D2">
            <w:pPr>
              <w:numPr>
                <w:ilvl w:val="12"/>
                <w:numId w:val="0"/>
              </w:numPr>
              <w:ind w:right="57"/>
              <w:rPr>
                <w:rFonts w:ascii="Calibri" w:eastAsia="Times New Roman" w:hAnsi="Calibri" w:cs="Calibri"/>
                <w:i/>
                <w:lang w:val="en-GB" w:eastAsia="en-US"/>
              </w:rPr>
            </w:pPr>
            <w:r w:rsidRPr="004C77BA">
              <w:rPr>
                <w:rFonts w:ascii="Calibri" w:eastAsia="Times New Roman" w:hAnsi="Calibri" w:cs="Calibri"/>
                <w:i/>
                <w:lang w:val="en-GB" w:eastAsia="en-US"/>
              </w:rPr>
              <w:t>8.1%</w:t>
            </w:r>
          </w:p>
        </w:tc>
        <w:tc>
          <w:tcPr>
            <w:tcW w:w="808" w:type="pct"/>
          </w:tcPr>
          <w:p w:rsidR="00F0062B" w:rsidRPr="004C77BA" w:rsidRDefault="00F0062B" w:rsidP="00F503D9">
            <w:pPr>
              <w:numPr>
                <w:ilvl w:val="12"/>
                <w:numId w:val="0"/>
              </w:numPr>
              <w:ind w:right="57"/>
              <w:rPr>
                <w:rFonts w:ascii="Calibri" w:eastAsia="Times New Roman" w:hAnsi="Calibri" w:cs="Calibri"/>
                <w:i/>
                <w:lang w:val="en-GB" w:eastAsia="en-US"/>
              </w:rPr>
            </w:pPr>
            <w:r w:rsidRPr="004C77BA">
              <w:rPr>
                <w:rFonts w:ascii="Calibri" w:eastAsia="Times New Roman" w:hAnsi="Calibri" w:cs="Calibri"/>
                <w:i/>
                <w:lang w:val="en-GB" w:eastAsia="en-US"/>
              </w:rPr>
              <w:t>8.6%</w:t>
            </w:r>
          </w:p>
        </w:tc>
        <w:tc>
          <w:tcPr>
            <w:tcW w:w="806" w:type="pct"/>
          </w:tcPr>
          <w:p w:rsidR="00F0062B" w:rsidRPr="004C77BA" w:rsidRDefault="00F0062B" w:rsidP="00F503D9">
            <w:pPr>
              <w:numPr>
                <w:ilvl w:val="12"/>
                <w:numId w:val="0"/>
              </w:numPr>
              <w:ind w:right="57"/>
              <w:rPr>
                <w:rFonts w:ascii="Calibri" w:eastAsia="Times New Roman" w:hAnsi="Calibri" w:cs="Calibri"/>
                <w:i/>
                <w:lang w:val="en-GB" w:eastAsia="en-US"/>
              </w:rPr>
            </w:pPr>
            <w:r w:rsidRPr="004C77BA">
              <w:rPr>
                <w:rFonts w:ascii="Calibri" w:eastAsia="Times New Roman" w:hAnsi="Calibri" w:cs="Calibri"/>
                <w:i/>
                <w:lang w:val="en-GB" w:eastAsia="en-US"/>
              </w:rPr>
              <w:t>(0.5 p.p.)</w:t>
            </w:r>
          </w:p>
        </w:tc>
      </w:tr>
      <w:tr w:rsidR="00F0062B" w:rsidRPr="005B4857" w:rsidDel="00414DD0" w:rsidTr="00F0062B">
        <w:tc>
          <w:tcPr>
            <w:tcW w:w="2579" w:type="pct"/>
          </w:tcPr>
          <w:p w:rsidR="00F0062B" w:rsidRPr="005B4857" w:rsidDel="00414DD0" w:rsidRDefault="00F0062B" w:rsidP="005B4857">
            <w:pPr>
              <w:numPr>
                <w:ilvl w:val="12"/>
                <w:numId w:val="0"/>
              </w:numPr>
              <w:rPr>
                <w:rFonts w:ascii="Calibri" w:eastAsia="Times New Roman" w:hAnsi="Calibri" w:cs="Calibri"/>
                <w:lang w:val="en-GB" w:eastAsia="en-US"/>
              </w:rPr>
            </w:pPr>
            <w:r w:rsidRPr="005B4857">
              <w:rPr>
                <w:rFonts w:ascii="Calibri" w:eastAsia="Times New Roman" w:hAnsi="Calibri" w:cs="Calibri"/>
                <w:lang w:val="en-GB" w:eastAsia="en-US"/>
              </w:rPr>
              <w:t>Profit before tax</w:t>
            </w:r>
          </w:p>
        </w:tc>
        <w:tc>
          <w:tcPr>
            <w:tcW w:w="808" w:type="pct"/>
          </w:tcPr>
          <w:p w:rsidR="00F0062B" w:rsidRPr="005B4857" w:rsidDel="00414DD0" w:rsidRDefault="00F0062B" w:rsidP="004F77D2">
            <w:pPr>
              <w:numPr>
                <w:ilvl w:val="12"/>
                <w:numId w:val="0"/>
              </w:numPr>
              <w:ind w:right="57"/>
              <w:rPr>
                <w:rFonts w:ascii="Calibri" w:eastAsia="Times New Roman" w:hAnsi="Calibri" w:cs="Calibri"/>
                <w:lang w:val="en-GB" w:eastAsia="en-US"/>
              </w:rPr>
            </w:pPr>
            <w:r>
              <w:rPr>
                <w:rFonts w:ascii="Calibri" w:eastAsia="Times New Roman" w:hAnsi="Calibri" w:cs="Calibri"/>
                <w:lang w:val="en-GB" w:eastAsia="en-US"/>
              </w:rPr>
              <w:t>4,369</w:t>
            </w:r>
            <w:r w:rsidRPr="005B4857">
              <w:rPr>
                <w:rFonts w:ascii="Calibri" w:eastAsia="Times New Roman" w:hAnsi="Calibri" w:cs="Calibri"/>
                <w:lang w:val="en-GB" w:eastAsia="en-US"/>
              </w:rPr>
              <w:t>.</w:t>
            </w:r>
            <w:r>
              <w:rPr>
                <w:rFonts w:ascii="Calibri" w:eastAsia="Times New Roman" w:hAnsi="Calibri" w:cs="Calibri"/>
                <w:lang w:val="en-GB" w:eastAsia="en-US"/>
              </w:rPr>
              <w:t>7</w:t>
            </w:r>
          </w:p>
        </w:tc>
        <w:tc>
          <w:tcPr>
            <w:tcW w:w="808" w:type="pct"/>
          </w:tcPr>
          <w:p w:rsidR="00F0062B" w:rsidRPr="005B4857" w:rsidDel="00414DD0" w:rsidRDefault="00F0062B" w:rsidP="00F503D9">
            <w:pPr>
              <w:numPr>
                <w:ilvl w:val="12"/>
                <w:numId w:val="0"/>
              </w:numPr>
              <w:ind w:right="57"/>
              <w:rPr>
                <w:rFonts w:ascii="Calibri" w:eastAsia="Times New Roman" w:hAnsi="Calibri" w:cs="Calibri"/>
                <w:lang w:val="en-GB" w:eastAsia="en-US"/>
              </w:rPr>
            </w:pPr>
            <w:r>
              <w:rPr>
                <w:rFonts w:ascii="Calibri" w:eastAsia="Times New Roman" w:hAnsi="Calibri" w:cs="Calibri"/>
                <w:lang w:val="en-GB" w:eastAsia="en-US"/>
              </w:rPr>
              <w:t>3,946</w:t>
            </w:r>
            <w:r w:rsidRPr="005B4857">
              <w:rPr>
                <w:rFonts w:ascii="Calibri" w:eastAsia="Times New Roman" w:hAnsi="Calibri" w:cs="Calibri"/>
                <w:lang w:val="en-GB" w:eastAsia="en-US"/>
              </w:rPr>
              <w:t>.</w:t>
            </w:r>
            <w:r>
              <w:rPr>
                <w:rFonts w:ascii="Calibri" w:eastAsia="Times New Roman" w:hAnsi="Calibri" w:cs="Calibri"/>
                <w:lang w:val="en-GB" w:eastAsia="en-US"/>
              </w:rPr>
              <w:t>1</w:t>
            </w:r>
          </w:p>
        </w:tc>
        <w:tc>
          <w:tcPr>
            <w:tcW w:w="806" w:type="pct"/>
          </w:tcPr>
          <w:p w:rsidR="00F0062B" w:rsidRPr="005B4857" w:rsidDel="00414DD0" w:rsidRDefault="00F0062B" w:rsidP="004C77BA">
            <w:pPr>
              <w:numPr>
                <w:ilvl w:val="12"/>
                <w:numId w:val="0"/>
              </w:numPr>
              <w:ind w:right="57"/>
              <w:rPr>
                <w:rFonts w:ascii="Calibri" w:eastAsia="Times New Roman" w:hAnsi="Calibri" w:cs="Calibri"/>
                <w:lang w:val="en-GB" w:eastAsia="en-US"/>
              </w:rPr>
            </w:pPr>
            <w:r w:rsidRPr="005B4857">
              <w:rPr>
                <w:rFonts w:ascii="Calibri" w:eastAsia="Times New Roman" w:hAnsi="Calibri" w:cs="Calibri"/>
                <w:lang w:val="en-GB" w:eastAsia="en-US"/>
              </w:rPr>
              <w:t>1</w:t>
            </w:r>
            <w:r>
              <w:rPr>
                <w:rFonts w:ascii="Calibri" w:eastAsia="Times New Roman" w:hAnsi="Calibri" w:cs="Calibri"/>
                <w:lang w:val="en-GB" w:eastAsia="en-US"/>
              </w:rPr>
              <w:t>0.7</w:t>
            </w:r>
            <w:r w:rsidRPr="005B4857">
              <w:rPr>
                <w:rFonts w:ascii="Calibri" w:eastAsia="Times New Roman" w:hAnsi="Calibri" w:cs="Calibri"/>
                <w:lang w:val="en-GB" w:eastAsia="en-US"/>
              </w:rPr>
              <w:t>%</w:t>
            </w:r>
          </w:p>
        </w:tc>
      </w:tr>
      <w:tr w:rsidR="00F0062B" w:rsidRPr="005B4857" w:rsidTr="00F0062B">
        <w:tc>
          <w:tcPr>
            <w:tcW w:w="2579" w:type="pct"/>
          </w:tcPr>
          <w:p w:rsidR="00F0062B" w:rsidRPr="005B4857" w:rsidRDefault="00F0062B" w:rsidP="005B4857">
            <w:pPr>
              <w:numPr>
                <w:ilvl w:val="12"/>
                <w:numId w:val="0"/>
              </w:numPr>
              <w:rPr>
                <w:rFonts w:ascii="Calibri" w:eastAsia="Times New Roman" w:hAnsi="Calibri" w:cs="Calibri"/>
                <w:lang w:val="en-GB" w:eastAsia="en-US"/>
              </w:rPr>
            </w:pPr>
            <w:r w:rsidRPr="005B4857">
              <w:rPr>
                <w:rFonts w:ascii="Calibri" w:eastAsia="Times New Roman" w:hAnsi="Calibri" w:cs="Calibri"/>
                <w:b/>
                <w:lang w:val="en-GB" w:eastAsia="en-US"/>
              </w:rPr>
              <w:t>Profit for the year</w:t>
            </w:r>
          </w:p>
        </w:tc>
        <w:tc>
          <w:tcPr>
            <w:tcW w:w="808" w:type="pct"/>
          </w:tcPr>
          <w:p w:rsidR="00F0062B" w:rsidRPr="005B4857" w:rsidRDefault="00F0062B" w:rsidP="004F77D2">
            <w:pPr>
              <w:numPr>
                <w:ilvl w:val="12"/>
                <w:numId w:val="0"/>
              </w:numPr>
              <w:ind w:right="57"/>
              <w:rPr>
                <w:rFonts w:ascii="Calibri" w:eastAsia="Times New Roman" w:hAnsi="Calibri" w:cs="Calibri"/>
                <w:b/>
                <w:bCs/>
                <w:lang w:val="en-GB" w:eastAsia="en-US"/>
              </w:rPr>
            </w:pPr>
            <w:r>
              <w:rPr>
                <w:rFonts w:ascii="Calibri" w:eastAsia="Times New Roman" w:hAnsi="Calibri" w:cs="Calibri"/>
                <w:b/>
                <w:lang w:val="en-GB" w:eastAsia="en-US"/>
              </w:rPr>
              <w:t>3,2</w:t>
            </w:r>
            <w:r w:rsidRPr="005B4857">
              <w:rPr>
                <w:rFonts w:ascii="Calibri" w:eastAsia="Times New Roman" w:hAnsi="Calibri" w:cs="Calibri"/>
                <w:b/>
                <w:lang w:val="en-GB" w:eastAsia="en-US"/>
              </w:rPr>
              <w:t>3</w:t>
            </w:r>
            <w:r>
              <w:rPr>
                <w:rFonts w:ascii="Calibri" w:eastAsia="Times New Roman" w:hAnsi="Calibri" w:cs="Calibri"/>
                <w:b/>
                <w:lang w:val="en-GB" w:eastAsia="en-US"/>
              </w:rPr>
              <w:t>9</w:t>
            </w:r>
            <w:r w:rsidRPr="005B4857">
              <w:rPr>
                <w:rFonts w:ascii="Calibri" w:eastAsia="Times New Roman" w:hAnsi="Calibri" w:cs="Calibri"/>
                <w:b/>
                <w:lang w:val="en-GB" w:eastAsia="en-US"/>
              </w:rPr>
              <w:t>.</w:t>
            </w:r>
            <w:r>
              <w:rPr>
                <w:rFonts w:ascii="Calibri" w:eastAsia="Times New Roman" w:hAnsi="Calibri" w:cs="Calibri"/>
                <w:b/>
                <w:lang w:val="en-GB" w:eastAsia="en-US"/>
              </w:rPr>
              <w:t>9</w:t>
            </w:r>
          </w:p>
        </w:tc>
        <w:tc>
          <w:tcPr>
            <w:tcW w:w="808" w:type="pct"/>
          </w:tcPr>
          <w:p w:rsidR="00F0062B" w:rsidRPr="005B4857" w:rsidRDefault="00F0062B" w:rsidP="004C77BA">
            <w:pPr>
              <w:numPr>
                <w:ilvl w:val="12"/>
                <w:numId w:val="0"/>
              </w:numPr>
              <w:ind w:right="57"/>
              <w:rPr>
                <w:rFonts w:ascii="Calibri" w:eastAsia="Times New Roman" w:hAnsi="Calibri" w:cs="Calibri"/>
                <w:b/>
                <w:lang w:val="en-GB" w:eastAsia="en-US"/>
              </w:rPr>
            </w:pPr>
            <w:r>
              <w:rPr>
                <w:rFonts w:ascii="Calibri" w:eastAsia="Times New Roman" w:hAnsi="Calibri" w:cs="Calibri"/>
                <w:b/>
                <w:lang w:val="en-GB" w:eastAsia="en-US"/>
              </w:rPr>
              <w:t>2,684</w:t>
            </w:r>
            <w:r w:rsidRPr="005B4857">
              <w:rPr>
                <w:rFonts w:ascii="Calibri" w:eastAsia="Times New Roman" w:hAnsi="Calibri" w:cs="Calibri"/>
                <w:b/>
                <w:lang w:val="en-GB" w:eastAsia="en-US"/>
              </w:rPr>
              <w:t>.</w:t>
            </w:r>
            <w:r>
              <w:rPr>
                <w:rFonts w:ascii="Calibri" w:eastAsia="Times New Roman" w:hAnsi="Calibri" w:cs="Calibri"/>
                <w:b/>
                <w:lang w:val="en-GB" w:eastAsia="en-US"/>
              </w:rPr>
              <w:t>0</w:t>
            </w:r>
          </w:p>
        </w:tc>
        <w:tc>
          <w:tcPr>
            <w:tcW w:w="806" w:type="pct"/>
          </w:tcPr>
          <w:p w:rsidR="00F0062B" w:rsidRPr="005B4857" w:rsidRDefault="00F0062B" w:rsidP="00F503D9">
            <w:pPr>
              <w:numPr>
                <w:ilvl w:val="12"/>
                <w:numId w:val="0"/>
              </w:numPr>
              <w:ind w:right="57"/>
              <w:rPr>
                <w:rFonts w:ascii="Calibri" w:eastAsia="Times New Roman" w:hAnsi="Calibri" w:cs="Calibri"/>
                <w:b/>
                <w:lang w:val="en-GB" w:eastAsia="en-US"/>
              </w:rPr>
            </w:pPr>
            <w:r>
              <w:rPr>
                <w:rFonts w:ascii="Calibri" w:eastAsia="Times New Roman" w:hAnsi="Calibri" w:cs="Calibri"/>
                <w:b/>
                <w:lang w:val="en-GB" w:eastAsia="en-US"/>
              </w:rPr>
              <w:t>20.7</w:t>
            </w:r>
            <w:r w:rsidRPr="005B4857">
              <w:rPr>
                <w:rFonts w:ascii="Calibri" w:eastAsia="Times New Roman" w:hAnsi="Calibri" w:cs="Calibri"/>
                <w:b/>
                <w:lang w:val="en-GB" w:eastAsia="en-US"/>
              </w:rPr>
              <w:t>%</w:t>
            </w:r>
          </w:p>
        </w:tc>
      </w:tr>
      <w:tr w:rsidR="00F0062B" w:rsidRPr="005B4857" w:rsidTr="00F0062B">
        <w:tc>
          <w:tcPr>
            <w:tcW w:w="2579" w:type="pct"/>
          </w:tcPr>
          <w:p w:rsidR="00F0062B" w:rsidRPr="005B4857" w:rsidRDefault="00F0062B" w:rsidP="005B4857">
            <w:pPr>
              <w:numPr>
                <w:ilvl w:val="12"/>
                <w:numId w:val="0"/>
              </w:numPr>
              <w:rPr>
                <w:rFonts w:ascii="Calibri" w:eastAsia="Times New Roman" w:hAnsi="Calibri" w:cs="Calibri"/>
                <w:i/>
                <w:lang w:val="en-GB" w:eastAsia="en-US"/>
              </w:rPr>
            </w:pPr>
            <w:r w:rsidRPr="005B4857">
              <w:rPr>
                <w:rFonts w:ascii="Calibri" w:eastAsia="Times New Roman" w:hAnsi="Calibri" w:cs="Calibri"/>
                <w:i/>
                <w:lang w:val="en-GB" w:eastAsia="en-US"/>
              </w:rPr>
              <w:t>Net Margin</w:t>
            </w:r>
          </w:p>
        </w:tc>
        <w:tc>
          <w:tcPr>
            <w:tcW w:w="808" w:type="pct"/>
          </w:tcPr>
          <w:p w:rsidR="00F0062B" w:rsidRPr="005B4857" w:rsidRDefault="00F0062B" w:rsidP="004F77D2">
            <w:pPr>
              <w:numPr>
                <w:ilvl w:val="12"/>
                <w:numId w:val="0"/>
              </w:numPr>
              <w:ind w:right="57"/>
              <w:rPr>
                <w:rFonts w:ascii="Calibri" w:eastAsia="Times New Roman" w:hAnsi="Calibri" w:cs="Calibri"/>
                <w:lang w:val="en-GB" w:eastAsia="en-US"/>
              </w:rPr>
            </w:pPr>
            <w:r>
              <w:rPr>
                <w:rFonts w:ascii="Calibri" w:eastAsia="Times New Roman" w:hAnsi="Calibri" w:cs="Calibri"/>
                <w:lang w:val="en-GB" w:eastAsia="en-US"/>
              </w:rPr>
              <w:t>3.5</w:t>
            </w:r>
            <w:r w:rsidRPr="005B4857">
              <w:rPr>
                <w:rFonts w:ascii="Calibri" w:eastAsia="Times New Roman" w:hAnsi="Calibri" w:cs="Calibri"/>
                <w:lang w:val="en-GB" w:eastAsia="en-US"/>
              </w:rPr>
              <w:t>%</w:t>
            </w:r>
          </w:p>
        </w:tc>
        <w:tc>
          <w:tcPr>
            <w:tcW w:w="808" w:type="pct"/>
          </w:tcPr>
          <w:p w:rsidR="00F0062B" w:rsidRPr="005B4857" w:rsidRDefault="00F0062B" w:rsidP="00F503D9">
            <w:pPr>
              <w:numPr>
                <w:ilvl w:val="12"/>
                <w:numId w:val="0"/>
              </w:numPr>
              <w:ind w:right="57"/>
              <w:rPr>
                <w:rFonts w:ascii="Calibri" w:eastAsia="Times New Roman" w:hAnsi="Calibri" w:cs="Calibri"/>
                <w:lang w:val="en-GB" w:eastAsia="en-US"/>
              </w:rPr>
            </w:pPr>
            <w:r>
              <w:rPr>
                <w:rFonts w:ascii="Calibri" w:eastAsia="Times New Roman" w:hAnsi="Calibri" w:cs="Calibri"/>
                <w:lang w:val="en-GB" w:eastAsia="en-US"/>
              </w:rPr>
              <w:t>3.3</w:t>
            </w:r>
            <w:r w:rsidRPr="005B4857">
              <w:rPr>
                <w:rFonts w:ascii="Calibri" w:eastAsia="Times New Roman" w:hAnsi="Calibri" w:cs="Calibri"/>
                <w:lang w:val="en-GB" w:eastAsia="en-US"/>
              </w:rPr>
              <w:t>%</w:t>
            </w:r>
          </w:p>
        </w:tc>
        <w:tc>
          <w:tcPr>
            <w:tcW w:w="806" w:type="pct"/>
          </w:tcPr>
          <w:p w:rsidR="00F0062B" w:rsidRPr="005B4857" w:rsidRDefault="00F0062B" w:rsidP="00F503D9">
            <w:pPr>
              <w:numPr>
                <w:ilvl w:val="12"/>
                <w:numId w:val="0"/>
              </w:numPr>
              <w:ind w:right="57"/>
              <w:rPr>
                <w:rFonts w:ascii="Calibri" w:eastAsia="Times New Roman" w:hAnsi="Calibri" w:cs="Calibri"/>
                <w:lang w:val="en-GB" w:eastAsia="en-US"/>
              </w:rPr>
            </w:pPr>
            <w:r>
              <w:rPr>
                <w:rFonts w:ascii="Calibri" w:eastAsia="Times New Roman" w:hAnsi="Calibri" w:cs="Calibri"/>
                <w:lang w:val="en-GB" w:eastAsia="en-US"/>
              </w:rPr>
              <w:t>0.2</w:t>
            </w:r>
            <w:r w:rsidRPr="005B4857">
              <w:rPr>
                <w:rFonts w:ascii="Calibri" w:eastAsia="Times New Roman" w:hAnsi="Calibri" w:cs="Calibri"/>
                <w:lang w:val="en-GB" w:eastAsia="en-US"/>
              </w:rPr>
              <w:t xml:space="preserve"> p.p.</w:t>
            </w:r>
          </w:p>
        </w:tc>
      </w:tr>
      <w:tr w:rsidR="00F0062B" w:rsidRPr="005B4857" w:rsidTr="00F0062B">
        <w:trPr>
          <w:trHeight w:val="85"/>
        </w:trPr>
        <w:tc>
          <w:tcPr>
            <w:tcW w:w="2579" w:type="pct"/>
          </w:tcPr>
          <w:p w:rsidR="00F0062B" w:rsidRPr="005B4857" w:rsidRDefault="00F0062B" w:rsidP="005B4857">
            <w:pPr>
              <w:numPr>
                <w:ilvl w:val="12"/>
                <w:numId w:val="0"/>
              </w:numPr>
              <w:rPr>
                <w:rFonts w:ascii="Calibri" w:eastAsia="Times New Roman" w:hAnsi="Calibri" w:cs="Calibri"/>
                <w:lang w:val="en-GB" w:eastAsia="en-US"/>
              </w:rPr>
            </w:pPr>
          </w:p>
        </w:tc>
        <w:tc>
          <w:tcPr>
            <w:tcW w:w="808" w:type="pct"/>
          </w:tcPr>
          <w:p w:rsidR="00F0062B" w:rsidRPr="005B4857" w:rsidRDefault="00F0062B" w:rsidP="004F77D2">
            <w:pPr>
              <w:numPr>
                <w:ilvl w:val="12"/>
                <w:numId w:val="0"/>
              </w:numPr>
              <w:tabs>
                <w:tab w:val="decimal" w:pos="1771"/>
              </w:tabs>
              <w:ind w:right="57"/>
              <w:rPr>
                <w:rFonts w:ascii="Calibri" w:eastAsia="Times New Roman" w:hAnsi="Calibri" w:cs="Calibri"/>
                <w:lang w:val="en-GB" w:eastAsia="en-US"/>
              </w:rPr>
            </w:pPr>
          </w:p>
        </w:tc>
        <w:tc>
          <w:tcPr>
            <w:tcW w:w="808" w:type="pct"/>
          </w:tcPr>
          <w:p w:rsidR="00F0062B" w:rsidRPr="005B4857" w:rsidRDefault="00F0062B" w:rsidP="00F503D9">
            <w:pPr>
              <w:numPr>
                <w:ilvl w:val="12"/>
                <w:numId w:val="0"/>
              </w:numPr>
              <w:tabs>
                <w:tab w:val="decimal" w:pos="1771"/>
              </w:tabs>
              <w:ind w:right="57"/>
              <w:rPr>
                <w:rFonts w:ascii="Calibri" w:eastAsia="Times New Roman" w:hAnsi="Calibri" w:cs="Calibri"/>
                <w:lang w:val="en-GB" w:eastAsia="en-US"/>
              </w:rPr>
            </w:pPr>
          </w:p>
        </w:tc>
        <w:tc>
          <w:tcPr>
            <w:tcW w:w="806" w:type="pct"/>
          </w:tcPr>
          <w:p w:rsidR="00F0062B" w:rsidRPr="005B4857" w:rsidRDefault="00F0062B" w:rsidP="00F503D9">
            <w:pPr>
              <w:numPr>
                <w:ilvl w:val="12"/>
                <w:numId w:val="0"/>
              </w:numPr>
              <w:tabs>
                <w:tab w:val="decimal" w:pos="1771"/>
              </w:tabs>
              <w:ind w:right="57"/>
              <w:rPr>
                <w:rFonts w:ascii="Calibri" w:eastAsia="Times New Roman" w:hAnsi="Calibri" w:cs="Calibri"/>
                <w:lang w:val="en-GB" w:eastAsia="en-US"/>
              </w:rPr>
            </w:pPr>
          </w:p>
        </w:tc>
      </w:tr>
      <w:tr w:rsidR="00F0062B" w:rsidRPr="005B4857" w:rsidTr="00F0062B">
        <w:tc>
          <w:tcPr>
            <w:tcW w:w="2579" w:type="pct"/>
          </w:tcPr>
          <w:p w:rsidR="00F0062B" w:rsidRPr="005B4857" w:rsidRDefault="00F0062B" w:rsidP="005B4857">
            <w:pPr>
              <w:numPr>
                <w:ilvl w:val="12"/>
                <w:numId w:val="0"/>
              </w:numPr>
              <w:rPr>
                <w:rFonts w:ascii="Calibri" w:eastAsia="Times New Roman" w:hAnsi="Calibri" w:cs="Calibri"/>
                <w:b/>
                <w:lang w:val="en-GB" w:eastAsia="en-US"/>
              </w:rPr>
            </w:pPr>
            <w:r w:rsidRPr="005B4857">
              <w:rPr>
                <w:rFonts w:ascii="Calibri" w:eastAsia="Times New Roman" w:hAnsi="Calibri" w:cs="Calibri"/>
                <w:b/>
                <w:bCs/>
                <w:lang w:val="en-GB" w:eastAsia="en-US"/>
              </w:rPr>
              <w:t>Earnings per share</w:t>
            </w:r>
          </w:p>
        </w:tc>
        <w:tc>
          <w:tcPr>
            <w:tcW w:w="808" w:type="pct"/>
          </w:tcPr>
          <w:p w:rsidR="00F0062B" w:rsidRPr="005B4857" w:rsidRDefault="00F0062B" w:rsidP="004F77D2">
            <w:pPr>
              <w:numPr>
                <w:ilvl w:val="12"/>
                <w:numId w:val="0"/>
              </w:numPr>
              <w:tabs>
                <w:tab w:val="decimal" w:pos="1771"/>
              </w:tabs>
              <w:ind w:right="57"/>
              <w:rPr>
                <w:rFonts w:ascii="Calibri" w:eastAsia="Times New Roman" w:hAnsi="Calibri" w:cs="Calibri"/>
                <w:b/>
                <w:lang w:val="en-GB" w:eastAsia="en-US"/>
              </w:rPr>
            </w:pPr>
          </w:p>
        </w:tc>
        <w:tc>
          <w:tcPr>
            <w:tcW w:w="808" w:type="pct"/>
          </w:tcPr>
          <w:p w:rsidR="00F0062B" w:rsidRPr="005B4857" w:rsidRDefault="00F0062B" w:rsidP="00F503D9">
            <w:pPr>
              <w:numPr>
                <w:ilvl w:val="12"/>
                <w:numId w:val="0"/>
              </w:numPr>
              <w:tabs>
                <w:tab w:val="decimal" w:pos="1771"/>
              </w:tabs>
              <w:ind w:right="57"/>
              <w:rPr>
                <w:rFonts w:ascii="Calibri" w:eastAsia="Times New Roman" w:hAnsi="Calibri" w:cs="Calibri"/>
                <w:b/>
                <w:lang w:val="en-GB" w:eastAsia="en-US"/>
              </w:rPr>
            </w:pPr>
          </w:p>
        </w:tc>
        <w:tc>
          <w:tcPr>
            <w:tcW w:w="806" w:type="pct"/>
          </w:tcPr>
          <w:p w:rsidR="00F0062B" w:rsidRPr="005B4857" w:rsidRDefault="00F0062B" w:rsidP="00F503D9">
            <w:pPr>
              <w:numPr>
                <w:ilvl w:val="12"/>
                <w:numId w:val="0"/>
              </w:numPr>
              <w:tabs>
                <w:tab w:val="decimal" w:pos="1771"/>
              </w:tabs>
              <w:ind w:right="57"/>
              <w:rPr>
                <w:rFonts w:ascii="Calibri" w:eastAsia="Times New Roman" w:hAnsi="Calibri" w:cs="Calibri"/>
                <w:b/>
                <w:lang w:val="en-GB" w:eastAsia="en-US"/>
              </w:rPr>
            </w:pPr>
          </w:p>
        </w:tc>
      </w:tr>
      <w:tr w:rsidR="00F0062B" w:rsidRPr="005B4857" w:rsidTr="00F0062B">
        <w:tc>
          <w:tcPr>
            <w:tcW w:w="2579" w:type="pct"/>
          </w:tcPr>
          <w:p w:rsidR="00F0062B" w:rsidRPr="005B4857" w:rsidRDefault="00F0062B" w:rsidP="005B4857">
            <w:pPr>
              <w:numPr>
                <w:ilvl w:val="12"/>
                <w:numId w:val="0"/>
              </w:numPr>
              <w:rPr>
                <w:rFonts w:ascii="Calibri" w:eastAsia="Times New Roman" w:hAnsi="Calibri" w:cs="Calibri"/>
                <w:b/>
                <w:lang w:val="en-GB" w:eastAsia="en-US"/>
              </w:rPr>
            </w:pPr>
            <w:r w:rsidRPr="005B4857">
              <w:rPr>
                <w:rFonts w:ascii="Calibri" w:eastAsia="Times New Roman" w:hAnsi="Calibri" w:cs="Calibri"/>
                <w:lang w:val="en-GB" w:eastAsia="en-US"/>
              </w:rPr>
              <w:t>Basic and diluted earnings per share (RUB)</w:t>
            </w:r>
            <w:r>
              <w:rPr>
                <w:rFonts w:ascii="Calibri" w:eastAsia="Times New Roman" w:hAnsi="Calibri" w:cs="Calibri"/>
                <w:lang w:val="en-GB" w:eastAsia="en-US"/>
              </w:rPr>
              <w:t xml:space="preserve"> – restated*</w:t>
            </w:r>
          </w:p>
        </w:tc>
        <w:tc>
          <w:tcPr>
            <w:tcW w:w="808" w:type="pct"/>
          </w:tcPr>
          <w:p w:rsidR="00F0062B" w:rsidRPr="005B4857" w:rsidRDefault="00F0062B" w:rsidP="004F77D2">
            <w:pPr>
              <w:numPr>
                <w:ilvl w:val="12"/>
                <w:numId w:val="0"/>
              </w:numPr>
              <w:ind w:right="57"/>
              <w:rPr>
                <w:rFonts w:ascii="Calibri" w:eastAsia="Times New Roman" w:hAnsi="Calibri" w:cs="Calibri"/>
                <w:b/>
                <w:lang w:val="en-GB" w:eastAsia="en-US"/>
              </w:rPr>
            </w:pPr>
            <w:r>
              <w:rPr>
                <w:rFonts w:ascii="Calibri" w:eastAsia="Times New Roman" w:hAnsi="Calibri" w:cs="Calibri"/>
                <w:b/>
                <w:lang w:val="en-GB" w:eastAsia="en-US"/>
              </w:rPr>
              <w:t>12.0</w:t>
            </w:r>
          </w:p>
        </w:tc>
        <w:tc>
          <w:tcPr>
            <w:tcW w:w="808" w:type="pct"/>
          </w:tcPr>
          <w:p w:rsidR="00F0062B" w:rsidRPr="005B4857" w:rsidRDefault="00F0062B" w:rsidP="00F503D9">
            <w:pPr>
              <w:numPr>
                <w:ilvl w:val="12"/>
                <w:numId w:val="0"/>
              </w:numPr>
              <w:ind w:right="57"/>
              <w:rPr>
                <w:rFonts w:ascii="Calibri" w:eastAsia="Times New Roman" w:hAnsi="Calibri" w:cs="Calibri"/>
                <w:b/>
                <w:lang w:val="en-GB" w:eastAsia="en-US"/>
              </w:rPr>
            </w:pPr>
            <w:r>
              <w:rPr>
                <w:rFonts w:ascii="Calibri" w:eastAsia="Times New Roman" w:hAnsi="Calibri" w:cs="Calibri"/>
                <w:b/>
                <w:lang w:val="en-GB" w:eastAsia="en-US"/>
              </w:rPr>
              <w:t>10.5</w:t>
            </w:r>
          </w:p>
        </w:tc>
        <w:tc>
          <w:tcPr>
            <w:tcW w:w="806" w:type="pct"/>
          </w:tcPr>
          <w:p w:rsidR="00F0062B" w:rsidRPr="005B4857" w:rsidRDefault="00F0062B" w:rsidP="00F503D9">
            <w:pPr>
              <w:numPr>
                <w:ilvl w:val="12"/>
                <w:numId w:val="0"/>
              </w:numPr>
              <w:ind w:right="57"/>
              <w:rPr>
                <w:rFonts w:ascii="Calibri" w:eastAsia="Times New Roman" w:hAnsi="Calibri" w:cs="Calibri"/>
                <w:b/>
                <w:lang w:val="en-GB" w:eastAsia="en-US"/>
              </w:rPr>
            </w:pPr>
            <w:r>
              <w:rPr>
                <w:rFonts w:ascii="Calibri" w:eastAsia="Times New Roman" w:hAnsi="Calibri" w:cs="Calibri"/>
                <w:b/>
                <w:lang w:val="en-GB" w:eastAsia="en-US"/>
              </w:rPr>
              <w:t>1.5</w:t>
            </w:r>
          </w:p>
        </w:tc>
      </w:tr>
    </w:tbl>
    <w:p w:rsidR="006C6326" w:rsidRDefault="006C6326" w:rsidP="006C6326">
      <w:pPr>
        <w:rPr>
          <w:rFonts w:cs="Arial"/>
          <w:b/>
          <w:lang w:val="en-GB"/>
        </w:rPr>
      </w:pPr>
    </w:p>
    <w:p w:rsidR="006C6326" w:rsidRPr="006C6326" w:rsidRDefault="006C6326" w:rsidP="006C6326">
      <w:pPr>
        <w:rPr>
          <w:rFonts w:cs="Arial"/>
          <w:b/>
          <w:lang w:val="en-GB"/>
        </w:rPr>
      </w:pPr>
      <w:r w:rsidRPr="006C6326">
        <w:rPr>
          <w:rFonts w:ascii="Calibri" w:eastAsia="Times New Roman" w:hAnsi="Calibri" w:cs="Calibri"/>
          <w:sz w:val="20"/>
          <w:szCs w:val="20"/>
          <w:lang w:val="en-GB" w:eastAsia="en-US"/>
        </w:rPr>
        <w:t xml:space="preserve">*2010 results have been restated to conform with </w:t>
      </w:r>
      <w:r w:rsidR="00265D16">
        <w:rPr>
          <w:rFonts w:ascii="Calibri" w:eastAsia="Times New Roman" w:hAnsi="Calibri" w:cs="Calibri"/>
          <w:sz w:val="20"/>
          <w:szCs w:val="20"/>
          <w:lang w:val="en-GB" w:eastAsia="en-US"/>
        </w:rPr>
        <w:t xml:space="preserve">the </w:t>
      </w:r>
      <w:r w:rsidRPr="006C6326">
        <w:rPr>
          <w:rFonts w:ascii="Calibri" w:eastAsia="Times New Roman" w:hAnsi="Calibri" w:cs="Calibri"/>
          <w:sz w:val="20"/>
          <w:szCs w:val="20"/>
          <w:lang w:val="en-GB" w:eastAsia="en-US"/>
        </w:rPr>
        <w:t>change in accounting policy related to accounting for land and buildings</w:t>
      </w:r>
    </w:p>
    <w:p w:rsidR="005B4857" w:rsidRPr="005B4857" w:rsidRDefault="005B4857" w:rsidP="005B4857">
      <w:pPr>
        <w:keepNext/>
        <w:keepLines/>
        <w:tabs>
          <w:tab w:val="left" w:pos="-720"/>
          <w:tab w:val="left" w:pos="720"/>
          <w:tab w:val="left" w:pos="1440"/>
        </w:tabs>
        <w:suppressAutoHyphens/>
        <w:spacing w:before="240" w:after="240"/>
        <w:rPr>
          <w:rFonts w:ascii="Calibri" w:eastAsia="Times New Roman" w:hAnsi="Calibri" w:cs="Calibri"/>
          <w:i/>
          <w:iCs/>
          <w:lang w:val="en-US" w:eastAsia="en-GB"/>
        </w:rPr>
      </w:pPr>
      <w:r w:rsidRPr="005B4857">
        <w:rPr>
          <w:rFonts w:ascii="Calibri" w:eastAsia="Times New Roman" w:hAnsi="Calibri" w:cs="Calibri"/>
          <w:i/>
          <w:iCs/>
          <w:lang w:val="en-US" w:eastAsia="en-GB"/>
        </w:rPr>
        <w:t>Revenue</w:t>
      </w:r>
    </w:p>
    <w:p w:rsidR="00641447" w:rsidRPr="00621D60" w:rsidRDefault="00641447" w:rsidP="00621D60">
      <w:pPr>
        <w:tabs>
          <w:tab w:val="left" w:pos="-720"/>
        </w:tabs>
        <w:suppressAutoHyphens/>
        <w:spacing w:before="240" w:after="240"/>
        <w:jc w:val="both"/>
        <w:rPr>
          <w:rFonts w:ascii="Calibri" w:eastAsia="Times New Roman" w:hAnsi="Calibri" w:cs="Calibri"/>
          <w:lang w:val="en-US" w:eastAsia="en-GB"/>
        </w:rPr>
      </w:pPr>
      <w:r w:rsidRPr="00621D60">
        <w:rPr>
          <w:rFonts w:ascii="Calibri" w:eastAsia="Times New Roman" w:hAnsi="Calibri" w:cs="Calibri"/>
          <w:lang w:val="en-US" w:eastAsia="en-GB"/>
        </w:rPr>
        <w:t xml:space="preserve">Revenue for the year ended 31 December 2011 </w:t>
      </w:r>
      <w:r w:rsidR="003130A5" w:rsidRPr="00621D60">
        <w:rPr>
          <w:rFonts w:ascii="Calibri" w:eastAsia="Times New Roman" w:hAnsi="Calibri" w:cs="Calibri"/>
          <w:lang w:val="en-US" w:eastAsia="en-GB"/>
        </w:rPr>
        <w:t xml:space="preserve">rose by 12.7% to </w:t>
      </w:r>
      <w:r w:rsidRPr="00621D60">
        <w:rPr>
          <w:rFonts w:ascii="Calibri" w:eastAsia="Times New Roman" w:hAnsi="Calibri" w:cs="Calibri"/>
          <w:lang w:val="en-US" w:eastAsia="en-GB"/>
        </w:rPr>
        <w:t xml:space="preserve">RUB 93,134.4 million, </w:t>
      </w:r>
      <w:r w:rsidR="003130A5" w:rsidRPr="00621D60">
        <w:rPr>
          <w:rFonts w:ascii="Calibri" w:eastAsia="Times New Roman" w:hAnsi="Calibri" w:cs="Calibri"/>
          <w:lang w:val="en-US" w:eastAsia="en-GB"/>
        </w:rPr>
        <w:t>from RUB</w:t>
      </w:r>
      <w:r w:rsidRPr="00621D60">
        <w:rPr>
          <w:rFonts w:ascii="Calibri" w:eastAsia="Times New Roman" w:hAnsi="Calibri" w:cs="Calibri"/>
          <w:lang w:val="en-US" w:eastAsia="en-GB"/>
        </w:rPr>
        <w:t xml:space="preserve"> 82,666.6 million</w:t>
      </w:r>
      <w:r w:rsidR="003130A5" w:rsidRPr="00621D60">
        <w:rPr>
          <w:rFonts w:ascii="Calibri" w:eastAsia="Times New Roman" w:hAnsi="Calibri" w:cs="Calibri"/>
          <w:lang w:val="en-US" w:eastAsia="en-GB"/>
        </w:rPr>
        <w:t xml:space="preserve"> in the year ended 31 December 2010</w:t>
      </w:r>
      <w:r w:rsidRPr="00621D60">
        <w:rPr>
          <w:rFonts w:ascii="Calibri" w:eastAsia="Times New Roman" w:hAnsi="Calibri" w:cs="Calibri"/>
          <w:lang w:val="en-US" w:eastAsia="en-GB"/>
        </w:rPr>
        <w:t xml:space="preserve">.  </w:t>
      </w:r>
      <w:r w:rsidR="00621D60" w:rsidRPr="00621D60">
        <w:rPr>
          <w:rFonts w:ascii="Calibri" w:eastAsia="Times New Roman" w:hAnsi="Calibri" w:cs="Calibri"/>
          <w:lang w:val="en-US" w:eastAsia="en-GB"/>
        </w:rPr>
        <w:t>Revenue growth</w:t>
      </w:r>
      <w:r w:rsidR="003130A5" w:rsidRPr="00621D60">
        <w:rPr>
          <w:rFonts w:ascii="Calibri" w:eastAsia="Times New Roman" w:hAnsi="Calibri" w:cs="Calibri"/>
          <w:lang w:val="en-US" w:eastAsia="en-GB"/>
        </w:rPr>
        <w:t xml:space="preserve"> was driven both by </w:t>
      </w:r>
      <w:r w:rsidRPr="00621D60">
        <w:rPr>
          <w:rFonts w:ascii="Calibri" w:eastAsia="Times New Roman" w:hAnsi="Calibri" w:cs="Calibri"/>
          <w:lang w:val="en-US" w:eastAsia="en-GB"/>
        </w:rPr>
        <w:t xml:space="preserve">an increase in selling space and </w:t>
      </w:r>
      <w:r w:rsidR="00621D60" w:rsidRPr="00621D60">
        <w:rPr>
          <w:rFonts w:ascii="Calibri" w:eastAsia="Times New Roman" w:hAnsi="Calibri" w:cs="Calibri"/>
          <w:lang w:val="en-US" w:eastAsia="en-GB"/>
        </w:rPr>
        <w:t xml:space="preserve">in </w:t>
      </w:r>
      <w:r w:rsidRPr="00621D60">
        <w:rPr>
          <w:rFonts w:ascii="Calibri" w:eastAsia="Times New Roman" w:hAnsi="Calibri" w:cs="Calibri"/>
          <w:lang w:val="en-US" w:eastAsia="en-GB"/>
        </w:rPr>
        <w:t>like-for-like revenue growth.</w:t>
      </w:r>
    </w:p>
    <w:p w:rsidR="00641447" w:rsidRPr="00621D60" w:rsidRDefault="00621D60" w:rsidP="00621D60">
      <w:pPr>
        <w:tabs>
          <w:tab w:val="left" w:pos="-720"/>
        </w:tabs>
        <w:suppressAutoHyphens/>
        <w:spacing w:before="240" w:after="240"/>
        <w:jc w:val="both"/>
        <w:rPr>
          <w:rFonts w:ascii="Calibri" w:eastAsia="Times New Roman" w:hAnsi="Calibri" w:cs="Calibri"/>
          <w:lang w:val="en-US" w:eastAsia="en-GB"/>
        </w:rPr>
      </w:pPr>
      <w:r w:rsidRPr="005B4857">
        <w:rPr>
          <w:rFonts w:ascii="Calibri" w:eastAsia="Times New Roman" w:hAnsi="Calibri" w:cs="Calibri"/>
          <w:lang w:val="en-US" w:eastAsia="en-GB"/>
        </w:rPr>
        <w:t>Like-for-like (LFL) revenue</w:t>
      </w:r>
      <w:r w:rsidRPr="00621D60">
        <w:rPr>
          <w:rFonts w:ascii="Calibri" w:eastAsia="Times New Roman" w:hAnsi="Calibri" w:cs="Calibri"/>
          <w:lang w:val="en-US" w:eastAsia="en-GB"/>
        </w:rPr>
        <w:t xml:space="preserve"> </w:t>
      </w:r>
      <w:r>
        <w:rPr>
          <w:rFonts w:ascii="Calibri" w:eastAsia="Times New Roman" w:hAnsi="Calibri" w:cs="Calibri"/>
          <w:lang w:val="en-US" w:eastAsia="en-GB"/>
        </w:rPr>
        <w:t>grew by</w:t>
      </w:r>
      <w:r w:rsidR="00641447" w:rsidRPr="00621D60">
        <w:rPr>
          <w:rFonts w:ascii="Calibri" w:eastAsia="Times New Roman" w:hAnsi="Calibri" w:cs="Calibri"/>
          <w:lang w:val="en-US" w:eastAsia="en-GB"/>
        </w:rPr>
        <w:t xml:space="preserve"> 5.3% year-on-year (y-o-y) </w:t>
      </w:r>
      <w:r>
        <w:rPr>
          <w:rFonts w:ascii="Calibri" w:eastAsia="Times New Roman" w:hAnsi="Calibri" w:cs="Calibri"/>
          <w:lang w:val="en-US" w:eastAsia="en-GB"/>
        </w:rPr>
        <w:t>in 2011, with a 5.5% increase in</w:t>
      </w:r>
      <w:r w:rsidR="00641447" w:rsidRPr="00621D60">
        <w:rPr>
          <w:rFonts w:ascii="Calibri" w:eastAsia="Times New Roman" w:hAnsi="Calibri" w:cs="Calibri"/>
          <w:lang w:val="en-US" w:eastAsia="en-GB"/>
        </w:rPr>
        <w:t xml:space="preserve"> LFL basket </w:t>
      </w:r>
      <w:r>
        <w:rPr>
          <w:rFonts w:ascii="Calibri" w:eastAsia="Times New Roman" w:hAnsi="Calibri" w:cs="Calibri"/>
          <w:lang w:val="en-US" w:eastAsia="en-GB"/>
        </w:rPr>
        <w:t xml:space="preserve">being </w:t>
      </w:r>
      <w:r w:rsidR="00641447" w:rsidRPr="00621D60">
        <w:rPr>
          <w:rFonts w:ascii="Calibri" w:eastAsia="Times New Roman" w:hAnsi="Calibri" w:cs="Calibri"/>
          <w:lang w:val="en-US" w:eastAsia="en-GB"/>
        </w:rPr>
        <w:t>driven primarily by increased inflation. This analysis includes the 54 stores that we opened before 31 December 2010 and were not subsequently closed, expanded or downsized.</w:t>
      </w:r>
    </w:p>
    <w:p w:rsidR="00621D60" w:rsidRPr="003D7FFC" w:rsidRDefault="005B4857" w:rsidP="003D7FFC">
      <w:pPr>
        <w:keepNext/>
        <w:keepLines/>
        <w:tabs>
          <w:tab w:val="left" w:pos="-720"/>
          <w:tab w:val="left" w:pos="720"/>
          <w:tab w:val="left" w:pos="1440"/>
        </w:tabs>
        <w:suppressAutoHyphens/>
        <w:spacing w:after="240"/>
        <w:rPr>
          <w:rFonts w:ascii="Calibri" w:eastAsia="Times New Roman" w:hAnsi="Calibri" w:cs="Calibri"/>
          <w:i/>
          <w:iCs/>
          <w:lang w:val="en-US" w:eastAsia="en-GB"/>
        </w:rPr>
      </w:pPr>
      <w:r w:rsidRPr="005B4857">
        <w:rPr>
          <w:rFonts w:ascii="Calibri" w:eastAsia="Times New Roman" w:hAnsi="Calibri" w:cs="Calibri"/>
          <w:i/>
          <w:iCs/>
          <w:lang w:val="en-US" w:eastAsia="en-GB"/>
        </w:rPr>
        <w:t>Cost of Goods Sold and Gross Profit</w:t>
      </w:r>
    </w:p>
    <w:p w:rsidR="00473061" w:rsidRDefault="00621D60" w:rsidP="00022DF7">
      <w:pPr>
        <w:tabs>
          <w:tab w:val="left" w:pos="-720"/>
        </w:tabs>
        <w:suppressAutoHyphens/>
        <w:spacing w:after="240"/>
        <w:jc w:val="both"/>
        <w:rPr>
          <w:rFonts w:ascii="Calibri" w:eastAsia="Times New Roman" w:hAnsi="Calibri" w:cs="Calibri"/>
          <w:lang w:val="en-US" w:eastAsia="en-GB"/>
        </w:rPr>
      </w:pPr>
      <w:r w:rsidRPr="00473061">
        <w:rPr>
          <w:rFonts w:ascii="Calibri" w:eastAsia="Times New Roman" w:hAnsi="Calibri" w:cs="Calibri"/>
          <w:lang w:val="en-US" w:eastAsia="en-GB"/>
        </w:rPr>
        <w:t xml:space="preserve">Cost of goods sold </w:t>
      </w:r>
      <w:r w:rsidR="003D7FFC" w:rsidRPr="00473061">
        <w:rPr>
          <w:rFonts w:ascii="Calibri" w:eastAsia="Times New Roman" w:hAnsi="Calibri" w:cs="Calibri"/>
          <w:lang w:val="en-US" w:eastAsia="en-GB"/>
        </w:rPr>
        <w:t>increased by 11.0%, or RUB 7,110.8 million</w:t>
      </w:r>
      <w:r w:rsidRPr="00473061">
        <w:rPr>
          <w:rFonts w:ascii="Calibri" w:eastAsia="Times New Roman" w:hAnsi="Calibri" w:cs="Calibri"/>
          <w:lang w:val="en-US" w:eastAsia="en-GB"/>
        </w:rPr>
        <w:t xml:space="preserve"> in 2011</w:t>
      </w:r>
      <w:r w:rsidR="003D7FFC" w:rsidRPr="00473061">
        <w:rPr>
          <w:rFonts w:ascii="Calibri" w:eastAsia="Times New Roman" w:hAnsi="Calibri" w:cs="Calibri"/>
          <w:lang w:val="en-US" w:eastAsia="en-GB"/>
        </w:rPr>
        <w:t>.</w:t>
      </w:r>
      <w:r w:rsidRPr="00473061">
        <w:rPr>
          <w:rFonts w:ascii="Calibri" w:eastAsia="Times New Roman" w:hAnsi="Calibri" w:cs="Calibri"/>
          <w:lang w:val="en-US" w:eastAsia="en-GB"/>
        </w:rPr>
        <w:t xml:space="preserve"> </w:t>
      </w:r>
      <w:r w:rsidR="003D7FFC" w:rsidRPr="00473061">
        <w:rPr>
          <w:rFonts w:ascii="Calibri" w:eastAsia="Times New Roman" w:hAnsi="Calibri" w:cs="Calibri"/>
          <w:lang w:val="en-US" w:eastAsia="en-GB"/>
        </w:rPr>
        <w:t xml:space="preserve">This was driven by higher sales of trading stock, new store openings, and LFL revenue expansion. </w:t>
      </w:r>
    </w:p>
    <w:p w:rsidR="00CD2DE9" w:rsidRDefault="00473061" w:rsidP="00CD2DE9">
      <w:pPr>
        <w:tabs>
          <w:tab w:val="left" w:pos="-720"/>
        </w:tabs>
        <w:suppressAutoHyphens/>
        <w:spacing w:after="240"/>
        <w:jc w:val="both"/>
        <w:rPr>
          <w:rFonts w:ascii="Calibri" w:eastAsia="Times New Roman" w:hAnsi="Calibri" w:cs="Calibri"/>
          <w:i/>
          <w:iCs/>
          <w:lang w:val="en-US" w:eastAsia="en-GB"/>
        </w:rPr>
      </w:pPr>
      <w:r>
        <w:rPr>
          <w:rFonts w:ascii="Calibri" w:eastAsia="Times New Roman" w:hAnsi="Calibri" w:cs="Calibri"/>
          <w:lang w:val="en-US" w:eastAsia="en-GB"/>
        </w:rPr>
        <w:t>Gross profit increased by 18.7% i</w:t>
      </w:r>
      <w:r w:rsidR="003D7FFC" w:rsidRPr="00473061">
        <w:rPr>
          <w:rFonts w:ascii="Calibri" w:eastAsia="Times New Roman" w:hAnsi="Calibri" w:cs="Calibri"/>
          <w:lang w:val="en-US" w:eastAsia="en-GB"/>
        </w:rPr>
        <w:t>n 2011 to RUB 21,281.0 million, compared to RUB 17,924.0 million in 2010.</w:t>
      </w:r>
      <w:r>
        <w:rPr>
          <w:rFonts w:ascii="Calibri" w:eastAsia="Times New Roman" w:hAnsi="Calibri" w:cs="Calibri"/>
          <w:lang w:val="en-US" w:eastAsia="en-GB"/>
        </w:rPr>
        <w:t xml:space="preserve"> </w:t>
      </w:r>
      <w:proofErr w:type="gramStart"/>
      <w:r>
        <w:rPr>
          <w:rFonts w:ascii="Calibri" w:eastAsia="Times New Roman" w:hAnsi="Calibri" w:cs="Calibri"/>
          <w:lang w:val="en-US" w:eastAsia="en-GB"/>
        </w:rPr>
        <w:t>The gross margin for 2011 increased by 1.</w:t>
      </w:r>
      <w:r w:rsidR="00800BB5">
        <w:rPr>
          <w:rFonts w:ascii="Calibri" w:eastAsia="Times New Roman" w:hAnsi="Calibri" w:cs="Calibri"/>
          <w:lang w:val="en-US" w:eastAsia="en-GB"/>
        </w:rPr>
        <w:t>1</w:t>
      </w:r>
      <w:r>
        <w:rPr>
          <w:rFonts w:ascii="Calibri" w:eastAsia="Times New Roman" w:hAnsi="Calibri" w:cs="Calibri"/>
          <w:lang w:val="en-US" w:eastAsia="en-GB"/>
        </w:rPr>
        <w:t xml:space="preserve"> p.p. to 22.</w:t>
      </w:r>
      <w:r w:rsidR="00800BB5">
        <w:rPr>
          <w:rFonts w:ascii="Calibri" w:eastAsia="Times New Roman" w:hAnsi="Calibri" w:cs="Calibri"/>
          <w:lang w:val="en-US" w:eastAsia="en-GB"/>
        </w:rPr>
        <w:t>8</w:t>
      </w:r>
      <w:r>
        <w:rPr>
          <w:rFonts w:ascii="Calibri" w:eastAsia="Times New Roman" w:hAnsi="Calibri" w:cs="Calibri"/>
          <w:lang w:val="en-US" w:eastAsia="en-GB"/>
        </w:rPr>
        <w:t>%.</w:t>
      </w:r>
      <w:proofErr w:type="gramEnd"/>
      <w:r>
        <w:rPr>
          <w:rFonts w:ascii="Calibri" w:eastAsia="Times New Roman" w:hAnsi="Calibri" w:cs="Calibri"/>
          <w:lang w:val="en-US" w:eastAsia="en-GB"/>
        </w:rPr>
        <w:t xml:space="preserve"> </w:t>
      </w:r>
      <w:r w:rsidRPr="00473061">
        <w:rPr>
          <w:rFonts w:ascii="Calibri" w:eastAsia="Times New Roman" w:hAnsi="Calibri" w:cs="Calibri"/>
          <w:lang w:val="en-US" w:eastAsia="en-GB"/>
        </w:rPr>
        <w:t xml:space="preserve">These improvements were driven primarily by </w:t>
      </w:r>
      <w:r w:rsidR="00022DF7">
        <w:rPr>
          <w:rFonts w:ascii="Calibri" w:eastAsia="Times New Roman" w:hAnsi="Calibri" w:cs="Calibri"/>
          <w:lang w:val="en-US" w:eastAsia="en-GB"/>
        </w:rPr>
        <w:t>p</w:t>
      </w:r>
      <w:r w:rsidR="00621D60" w:rsidRPr="00473061">
        <w:rPr>
          <w:rFonts w:ascii="Calibri" w:eastAsia="Times New Roman" w:hAnsi="Calibri" w:cs="Calibri"/>
          <w:lang w:val="en-US" w:eastAsia="en-GB"/>
        </w:rPr>
        <w:t>rice increases in July</w:t>
      </w:r>
      <w:r w:rsidR="00022DF7">
        <w:rPr>
          <w:rFonts w:ascii="Calibri" w:eastAsia="Times New Roman" w:hAnsi="Calibri" w:cs="Calibri"/>
          <w:lang w:val="en-US" w:eastAsia="en-GB"/>
        </w:rPr>
        <w:t>, which</w:t>
      </w:r>
      <w:r w:rsidR="00621D60" w:rsidRPr="00473061">
        <w:rPr>
          <w:rFonts w:ascii="Calibri" w:eastAsia="Times New Roman" w:hAnsi="Calibri" w:cs="Calibri"/>
          <w:lang w:val="en-US" w:eastAsia="en-GB"/>
        </w:rPr>
        <w:t xml:space="preserve"> compensated for growing social taxes and </w:t>
      </w:r>
      <w:r w:rsidR="00621D60" w:rsidRPr="00473061">
        <w:rPr>
          <w:rFonts w:ascii="Calibri" w:eastAsia="Times New Roman" w:hAnsi="Calibri" w:cs="Calibri"/>
          <w:lang w:val="en-US" w:eastAsia="en-GB"/>
        </w:rPr>
        <w:lastRenderedPageBreak/>
        <w:t xml:space="preserve">utility charges, and </w:t>
      </w:r>
      <w:r w:rsidRPr="00473061">
        <w:rPr>
          <w:rFonts w:ascii="Calibri" w:eastAsia="Times New Roman" w:hAnsi="Calibri" w:cs="Calibri"/>
          <w:lang w:val="en-US" w:eastAsia="en-GB"/>
        </w:rPr>
        <w:t xml:space="preserve">the Company </w:t>
      </w:r>
      <w:r w:rsidR="00022DF7">
        <w:rPr>
          <w:rFonts w:ascii="Calibri" w:eastAsia="Times New Roman" w:hAnsi="Calibri" w:cs="Calibri"/>
          <w:lang w:val="en-US" w:eastAsia="en-GB"/>
        </w:rPr>
        <w:t>has also achieved a</w:t>
      </w:r>
      <w:r w:rsidRPr="00473061">
        <w:rPr>
          <w:rFonts w:ascii="Calibri" w:eastAsia="Times New Roman" w:hAnsi="Calibri" w:cs="Calibri"/>
          <w:lang w:val="en-US" w:eastAsia="en-GB"/>
        </w:rPr>
        <w:t xml:space="preserve"> </w:t>
      </w:r>
      <w:r w:rsidR="00621D60" w:rsidRPr="00473061">
        <w:rPr>
          <w:rFonts w:ascii="Calibri" w:eastAsia="Times New Roman" w:hAnsi="Calibri" w:cs="Calibri"/>
          <w:lang w:val="en-US" w:eastAsia="en-GB"/>
        </w:rPr>
        <w:t xml:space="preserve">general improvement in commercial terms due to the increased scale of </w:t>
      </w:r>
      <w:r w:rsidRPr="00473061">
        <w:rPr>
          <w:rFonts w:ascii="Calibri" w:eastAsia="Times New Roman" w:hAnsi="Calibri" w:cs="Calibri"/>
          <w:lang w:val="en-US" w:eastAsia="en-GB"/>
        </w:rPr>
        <w:t>its</w:t>
      </w:r>
      <w:r w:rsidR="00621D60" w:rsidRPr="00473061">
        <w:rPr>
          <w:rFonts w:ascii="Calibri" w:eastAsia="Times New Roman" w:hAnsi="Calibri" w:cs="Calibri"/>
          <w:lang w:val="en-US" w:eastAsia="en-GB"/>
        </w:rPr>
        <w:t xml:space="preserve"> operations and </w:t>
      </w:r>
      <w:r w:rsidRPr="00473061">
        <w:rPr>
          <w:rFonts w:ascii="Calibri" w:eastAsia="Times New Roman" w:hAnsi="Calibri" w:cs="Calibri"/>
          <w:lang w:val="en-US" w:eastAsia="en-GB"/>
        </w:rPr>
        <w:t xml:space="preserve">its </w:t>
      </w:r>
      <w:r w:rsidR="00621D60" w:rsidRPr="00473061">
        <w:rPr>
          <w:rFonts w:ascii="Calibri" w:eastAsia="Times New Roman" w:hAnsi="Calibri" w:cs="Calibri"/>
          <w:lang w:val="en-US" w:eastAsia="en-GB"/>
        </w:rPr>
        <w:t xml:space="preserve">growing purchasing power. </w:t>
      </w:r>
    </w:p>
    <w:p w:rsidR="00022DF7" w:rsidRDefault="00424145" w:rsidP="00CD2DE9">
      <w:pPr>
        <w:tabs>
          <w:tab w:val="left" w:pos="-720"/>
        </w:tabs>
        <w:suppressAutoHyphens/>
        <w:spacing w:after="240"/>
        <w:jc w:val="both"/>
        <w:rPr>
          <w:rFonts w:ascii="Calibri" w:eastAsia="Times New Roman" w:hAnsi="Calibri" w:cs="Calibri"/>
          <w:i/>
          <w:iCs/>
          <w:lang w:val="en-US" w:eastAsia="en-GB"/>
        </w:rPr>
      </w:pPr>
      <w:r w:rsidRPr="005B4857">
        <w:rPr>
          <w:rFonts w:ascii="Calibri" w:eastAsia="Times New Roman" w:hAnsi="Calibri" w:cs="Calibri"/>
          <w:i/>
          <w:iCs/>
          <w:lang w:val="en-US" w:eastAsia="en-GB"/>
        </w:rPr>
        <w:t>General, Selling and Administrative Expenses</w:t>
      </w:r>
    </w:p>
    <w:tbl>
      <w:tblPr>
        <w:tblpPr w:leftFromText="180" w:rightFromText="180" w:vertAnchor="text" w:horzAnchor="page" w:tblpX="1513" w:tblpY="414"/>
        <w:tblW w:w="5003" w:type="pct"/>
        <w:tblCellMar>
          <w:left w:w="72" w:type="dxa"/>
          <w:right w:w="72" w:type="dxa"/>
        </w:tblCellMar>
        <w:tblLook w:val="0000" w:firstRow="0" w:lastRow="0" w:firstColumn="0" w:lastColumn="0" w:noHBand="0" w:noVBand="0"/>
      </w:tblPr>
      <w:tblGrid>
        <w:gridCol w:w="2704"/>
        <w:gridCol w:w="1723"/>
        <w:gridCol w:w="1214"/>
        <w:gridCol w:w="1719"/>
        <w:gridCol w:w="1214"/>
        <w:gridCol w:w="1214"/>
      </w:tblGrid>
      <w:tr w:rsidR="00022DF7" w:rsidRPr="00E14DF8" w:rsidTr="00424145">
        <w:trPr>
          <w:cantSplit/>
        </w:trPr>
        <w:tc>
          <w:tcPr>
            <w:tcW w:w="1381" w:type="pct"/>
            <w:tcBorders>
              <w:top w:val="nil"/>
              <w:left w:val="nil"/>
              <w:bottom w:val="nil"/>
              <w:right w:val="nil"/>
            </w:tcBorders>
            <w:vAlign w:val="bottom"/>
          </w:tcPr>
          <w:p w:rsidR="00022DF7" w:rsidRPr="00CD2DE9"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b/>
                <w:bCs/>
                <w:sz w:val="18"/>
                <w:szCs w:val="18"/>
                <w:lang w:val="en-US"/>
              </w:rPr>
            </w:pPr>
          </w:p>
        </w:tc>
        <w:tc>
          <w:tcPr>
            <w:tcW w:w="880" w:type="pct"/>
            <w:tcBorders>
              <w:top w:val="nil"/>
              <w:left w:val="nil"/>
              <w:bottom w:val="nil"/>
              <w:right w:val="nil"/>
            </w:tcBorders>
            <w:vAlign w:val="bottom"/>
          </w:tcPr>
          <w:p w:rsidR="00022DF7" w:rsidRPr="00424145" w:rsidRDefault="00022DF7" w:rsidP="00022DF7">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spacing w:after="20"/>
              <w:rPr>
                <w:rFonts w:ascii="Calibri" w:eastAsia="Times New Roman" w:hAnsi="Calibri" w:cs="Calibri"/>
                <w:b/>
                <w:bCs/>
                <w:sz w:val="20"/>
                <w:szCs w:val="20"/>
                <w:lang w:val="en-US" w:eastAsia="en-GB"/>
              </w:rPr>
            </w:pPr>
            <w:r w:rsidRPr="00424145">
              <w:rPr>
                <w:rFonts w:ascii="Calibri" w:eastAsia="Times New Roman" w:hAnsi="Calibri" w:cs="Calibri"/>
                <w:b/>
                <w:bCs/>
                <w:sz w:val="20"/>
                <w:szCs w:val="20"/>
                <w:lang w:val="en-US" w:eastAsia="en-GB"/>
              </w:rPr>
              <w:t>Year</w:t>
            </w:r>
            <w:r w:rsidRPr="00424145">
              <w:rPr>
                <w:rFonts w:ascii="Calibri" w:eastAsia="Times New Roman" w:hAnsi="Calibri" w:cs="Calibri"/>
                <w:b/>
                <w:bCs/>
                <w:sz w:val="20"/>
                <w:szCs w:val="20"/>
                <w:lang w:val="en-US" w:eastAsia="en-GB"/>
              </w:rPr>
              <w:br/>
              <w:t>ended 31</w:t>
            </w:r>
            <w:r w:rsidRPr="00424145">
              <w:rPr>
                <w:rFonts w:ascii="Calibri" w:eastAsia="Times New Roman" w:hAnsi="Calibri" w:cs="Calibri"/>
                <w:b/>
                <w:bCs/>
                <w:sz w:val="20"/>
                <w:szCs w:val="20"/>
                <w:lang w:val="en-US" w:eastAsia="en-GB"/>
              </w:rPr>
              <w:br/>
              <w:t>December 2011</w:t>
            </w:r>
          </w:p>
        </w:tc>
        <w:tc>
          <w:tcPr>
            <w:tcW w:w="620" w:type="pct"/>
            <w:tcBorders>
              <w:top w:val="nil"/>
              <w:left w:val="nil"/>
              <w:bottom w:val="nil"/>
              <w:right w:val="nil"/>
            </w:tcBorders>
            <w:vAlign w:val="bottom"/>
          </w:tcPr>
          <w:p w:rsidR="00022DF7" w:rsidRPr="00424145" w:rsidRDefault="00022DF7" w:rsidP="00022DF7">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spacing w:after="20"/>
              <w:rPr>
                <w:rFonts w:ascii="Calibri" w:eastAsia="Times New Roman" w:hAnsi="Calibri" w:cs="Calibri"/>
                <w:b/>
                <w:bCs/>
                <w:sz w:val="20"/>
                <w:szCs w:val="20"/>
                <w:lang w:val="en-US" w:eastAsia="en-GB"/>
              </w:rPr>
            </w:pPr>
            <w:r w:rsidRPr="00424145">
              <w:rPr>
                <w:rFonts w:ascii="Calibri" w:eastAsia="Times New Roman" w:hAnsi="Calibri" w:cs="Calibri"/>
                <w:b/>
                <w:bCs/>
                <w:sz w:val="20"/>
                <w:szCs w:val="20"/>
                <w:lang w:val="en-US" w:eastAsia="en-GB"/>
              </w:rPr>
              <w:t>Percentage</w:t>
            </w:r>
            <w:r w:rsidRPr="00424145">
              <w:rPr>
                <w:rFonts w:ascii="Calibri" w:eastAsia="Times New Roman" w:hAnsi="Calibri" w:cs="Calibri"/>
                <w:b/>
                <w:bCs/>
                <w:sz w:val="20"/>
                <w:szCs w:val="20"/>
                <w:lang w:val="en-US" w:eastAsia="en-GB"/>
              </w:rPr>
              <w:br/>
              <w:t>of revenue</w:t>
            </w:r>
          </w:p>
        </w:tc>
        <w:tc>
          <w:tcPr>
            <w:tcW w:w="878" w:type="pct"/>
            <w:tcBorders>
              <w:top w:val="nil"/>
              <w:left w:val="nil"/>
              <w:bottom w:val="nil"/>
              <w:right w:val="nil"/>
            </w:tcBorders>
            <w:vAlign w:val="bottom"/>
          </w:tcPr>
          <w:p w:rsidR="00022DF7" w:rsidRPr="00424145" w:rsidRDefault="00022DF7" w:rsidP="00022DF7">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spacing w:after="20"/>
              <w:rPr>
                <w:rFonts w:ascii="Calibri" w:eastAsia="Times New Roman" w:hAnsi="Calibri" w:cs="Calibri"/>
                <w:b/>
                <w:bCs/>
                <w:sz w:val="20"/>
                <w:szCs w:val="20"/>
                <w:lang w:val="en-US" w:eastAsia="en-GB"/>
              </w:rPr>
            </w:pPr>
            <w:r w:rsidRPr="00424145">
              <w:rPr>
                <w:rFonts w:ascii="Calibri" w:eastAsia="Times New Roman" w:hAnsi="Calibri" w:cs="Calibri"/>
                <w:b/>
                <w:bCs/>
                <w:sz w:val="20"/>
                <w:szCs w:val="20"/>
                <w:lang w:val="en-US" w:eastAsia="en-GB"/>
              </w:rPr>
              <w:t>Year</w:t>
            </w:r>
            <w:r w:rsidRPr="00424145">
              <w:rPr>
                <w:rFonts w:ascii="Calibri" w:eastAsia="Times New Roman" w:hAnsi="Calibri" w:cs="Calibri"/>
                <w:b/>
                <w:bCs/>
                <w:sz w:val="20"/>
                <w:szCs w:val="20"/>
                <w:lang w:val="en-US" w:eastAsia="en-GB"/>
              </w:rPr>
              <w:br/>
              <w:t>ended 31</w:t>
            </w:r>
            <w:r w:rsidRPr="00424145">
              <w:rPr>
                <w:rFonts w:ascii="Calibri" w:eastAsia="Times New Roman" w:hAnsi="Calibri" w:cs="Calibri"/>
                <w:b/>
                <w:bCs/>
                <w:sz w:val="20"/>
                <w:szCs w:val="20"/>
                <w:lang w:val="en-US" w:eastAsia="en-GB"/>
              </w:rPr>
              <w:br/>
              <w:t>December 2010</w:t>
            </w:r>
          </w:p>
        </w:tc>
        <w:tc>
          <w:tcPr>
            <w:tcW w:w="620" w:type="pct"/>
            <w:tcBorders>
              <w:top w:val="nil"/>
              <w:left w:val="nil"/>
              <w:bottom w:val="nil"/>
              <w:right w:val="nil"/>
            </w:tcBorders>
            <w:vAlign w:val="bottom"/>
          </w:tcPr>
          <w:p w:rsidR="00022DF7" w:rsidRPr="00424145" w:rsidRDefault="00022DF7" w:rsidP="00022DF7">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spacing w:after="20"/>
              <w:rPr>
                <w:rFonts w:ascii="Calibri" w:eastAsia="Times New Roman" w:hAnsi="Calibri" w:cs="Calibri"/>
                <w:b/>
                <w:bCs/>
                <w:sz w:val="20"/>
                <w:szCs w:val="20"/>
                <w:lang w:val="en-US" w:eastAsia="en-GB"/>
              </w:rPr>
            </w:pPr>
            <w:r w:rsidRPr="00424145">
              <w:rPr>
                <w:rFonts w:ascii="Calibri" w:eastAsia="Times New Roman" w:hAnsi="Calibri" w:cs="Calibri"/>
                <w:b/>
                <w:bCs/>
                <w:sz w:val="20"/>
                <w:szCs w:val="20"/>
                <w:lang w:val="en-US" w:eastAsia="en-GB"/>
              </w:rPr>
              <w:t>Percentage</w:t>
            </w:r>
            <w:r w:rsidRPr="00424145">
              <w:rPr>
                <w:rFonts w:ascii="Calibri" w:eastAsia="Times New Roman" w:hAnsi="Calibri" w:cs="Calibri"/>
                <w:b/>
                <w:bCs/>
                <w:sz w:val="20"/>
                <w:szCs w:val="20"/>
                <w:lang w:val="en-US" w:eastAsia="en-GB"/>
              </w:rPr>
              <w:br/>
              <w:t>of revenue</w:t>
            </w:r>
          </w:p>
        </w:tc>
        <w:tc>
          <w:tcPr>
            <w:tcW w:w="620" w:type="pct"/>
            <w:tcBorders>
              <w:top w:val="nil"/>
              <w:left w:val="nil"/>
              <w:bottom w:val="nil"/>
              <w:right w:val="nil"/>
            </w:tcBorders>
            <w:vAlign w:val="bottom"/>
          </w:tcPr>
          <w:p w:rsidR="00022DF7" w:rsidRPr="00424145" w:rsidRDefault="00022DF7" w:rsidP="00022DF7">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spacing w:after="20"/>
              <w:rPr>
                <w:rFonts w:ascii="Calibri" w:eastAsia="Times New Roman" w:hAnsi="Calibri" w:cs="Calibri"/>
                <w:b/>
                <w:bCs/>
                <w:sz w:val="20"/>
                <w:szCs w:val="20"/>
                <w:lang w:val="en-US" w:eastAsia="en-GB"/>
              </w:rPr>
            </w:pPr>
            <w:r w:rsidRPr="00424145">
              <w:rPr>
                <w:rFonts w:ascii="Calibri" w:eastAsia="Times New Roman" w:hAnsi="Calibri" w:cs="Calibri"/>
                <w:b/>
                <w:bCs/>
                <w:sz w:val="20"/>
                <w:szCs w:val="20"/>
                <w:lang w:val="en-US" w:eastAsia="en-GB"/>
              </w:rPr>
              <w:t>Change, p.p.</w:t>
            </w:r>
          </w:p>
        </w:tc>
      </w:tr>
      <w:tr w:rsidR="00022DF7" w:rsidRPr="00E14DF8" w:rsidTr="00424145">
        <w:trPr>
          <w:cantSplit/>
        </w:trPr>
        <w:tc>
          <w:tcPr>
            <w:tcW w:w="1381" w:type="pct"/>
            <w:tcBorders>
              <w:top w:val="nil"/>
              <w:left w:val="nil"/>
              <w:bottom w:val="nil"/>
              <w:right w:val="nil"/>
            </w:tcBorders>
            <w:vAlign w:val="bottom"/>
          </w:tcPr>
          <w:p w:rsidR="00022DF7" w:rsidRPr="00E14DF8"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b/>
                <w:bCs/>
                <w:sz w:val="18"/>
                <w:szCs w:val="18"/>
              </w:rPr>
            </w:pPr>
          </w:p>
        </w:tc>
        <w:tc>
          <w:tcPr>
            <w:tcW w:w="880"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b/>
                <w:bCs/>
                <w:sz w:val="20"/>
                <w:szCs w:val="20"/>
                <w:lang w:val="en-US" w:eastAsia="en-GB"/>
              </w:rPr>
            </w:pPr>
            <w:r w:rsidRPr="00424145">
              <w:rPr>
                <w:rFonts w:ascii="Calibri" w:eastAsia="Times New Roman" w:hAnsi="Calibri" w:cs="Calibri"/>
                <w:b/>
                <w:bCs/>
                <w:sz w:val="20"/>
                <w:szCs w:val="20"/>
                <w:lang w:val="en-US" w:eastAsia="en-GB"/>
              </w:rPr>
              <w:t>(RUB millions)</w:t>
            </w:r>
          </w:p>
        </w:tc>
        <w:tc>
          <w:tcPr>
            <w:tcW w:w="620"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b/>
                <w:bCs/>
                <w:sz w:val="20"/>
                <w:szCs w:val="20"/>
                <w:lang w:val="en-US" w:eastAsia="en-GB"/>
              </w:rPr>
            </w:pPr>
            <w:r w:rsidRPr="00424145">
              <w:rPr>
                <w:rFonts w:ascii="Calibri" w:eastAsia="Times New Roman" w:hAnsi="Calibri" w:cs="Calibri"/>
                <w:b/>
                <w:bCs/>
                <w:sz w:val="20"/>
                <w:szCs w:val="20"/>
                <w:lang w:val="en-US" w:eastAsia="en-GB"/>
              </w:rPr>
              <w:t>(%)</w:t>
            </w:r>
          </w:p>
        </w:tc>
        <w:tc>
          <w:tcPr>
            <w:tcW w:w="878"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b/>
                <w:bCs/>
                <w:sz w:val="20"/>
                <w:szCs w:val="20"/>
                <w:lang w:val="en-US" w:eastAsia="en-GB"/>
              </w:rPr>
            </w:pPr>
            <w:r w:rsidRPr="00424145">
              <w:rPr>
                <w:rFonts w:ascii="Calibri" w:eastAsia="Times New Roman" w:hAnsi="Calibri" w:cs="Calibri"/>
                <w:b/>
                <w:bCs/>
                <w:sz w:val="20"/>
                <w:szCs w:val="20"/>
                <w:lang w:val="en-US" w:eastAsia="en-GB"/>
              </w:rPr>
              <w:t>(RUB millions)</w:t>
            </w:r>
          </w:p>
        </w:tc>
        <w:tc>
          <w:tcPr>
            <w:tcW w:w="1240" w:type="pct"/>
            <w:gridSpan w:val="2"/>
            <w:tcBorders>
              <w:top w:val="nil"/>
              <w:left w:val="nil"/>
              <w:bottom w:val="nil"/>
              <w:right w:val="nil"/>
            </w:tcBorders>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b/>
                <w:bCs/>
                <w:sz w:val="20"/>
                <w:szCs w:val="20"/>
                <w:lang w:val="en-US" w:eastAsia="en-GB"/>
              </w:rPr>
            </w:pPr>
            <w:r w:rsidRPr="00424145">
              <w:rPr>
                <w:rFonts w:ascii="Calibri" w:eastAsia="Times New Roman" w:hAnsi="Calibri" w:cs="Calibri"/>
                <w:b/>
                <w:bCs/>
                <w:sz w:val="20"/>
                <w:szCs w:val="20"/>
                <w:lang w:val="en-US" w:eastAsia="en-GB"/>
              </w:rPr>
              <w:t>(%)</w:t>
            </w:r>
          </w:p>
        </w:tc>
      </w:tr>
      <w:tr w:rsidR="00022DF7" w:rsidRPr="00E14DF8" w:rsidTr="00424145">
        <w:trPr>
          <w:cantSplit/>
        </w:trPr>
        <w:tc>
          <w:tcPr>
            <w:tcW w:w="1381" w:type="pct"/>
            <w:tcBorders>
              <w:top w:val="nil"/>
              <w:left w:val="nil"/>
              <w:bottom w:val="nil"/>
              <w:right w:val="nil"/>
            </w:tcBorders>
          </w:tcPr>
          <w:p w:rsidR="00022DF7" w:rsidRPr="00424145" w:rsidRDefault="00022DF7" w:rsidP="00022DF7">
            <w:pPr>
              <w:tabs>
                <w:tab w:val="right" w:leader="dot" w:pos="2600"/>
                <w:tab w:val="center" w:pos="4677"/>
                <w:tab w:val="right" w:pos="9355"/>
              </w:tabs>
              <w:suppressAutoHyphens/>
              <w:ind w:left="200" w:hanging="200"/>
              <w:rPr>
                <w:rFonts w:ascii="Calibri" w:eastAsia="Times New Roman" w:hAnsi="Calibri" w:cs="Calibri"/>
                <w:lang w:val="en-US" w:eastAsia="en-GB"/>
              </w:rPr>
            </w:pPr>
            <w:r w:rsidRPr="00424145">
              <w:rPr>
                <w:rFonts w:ascii="Calibri" w:eastAsia="Times New Roman" w:hAnsi="Calibri" w:cs="Calibri"/>
                <w:lang w:val="en-US" w:eastAsia="en-GB"/>
              </w:rPr>
              <w:t>Personnel costs</w:t>
            </w:r>
          </w:p>
        </w:tc>
        <w:tc>
          <w:tcPr>
            <w:tcW w:w="880"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(7,538.3)</w:t>
            </w:r>
          </w:p>
        </w:tc>
        <w:tc>
          <w:tcPr>
            <w:tcW w:w="620"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424145">
              <w:rPr>
                <w:rFonts w:ascii="Calibri" w:eastAsia="Times New Roman" w:hAnsi="Calibri" w:cs="Calibri"/>
                <w:lang w:val="en-US" w:eastAsia="en-GB"/>
              </w:rPr>
              <w:t>8.1</w:t>
            </w:r>
          </w:p>
        </w:tc>
        <w:tc>
          <w:tcPr>
            <w:tcW w:w="878"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424145">
              <w:rPr>
                <w:rFonts w:ascii="Calibri" w:eastAsia="Times New Roman" w:hAnsi="Calibri" w:cs="Calibri"/>
                <w:lang w:val="en-US" w:eastAsia="en-GB"/>
              </w:rPr>
              <w:t>(5,989.1)</w:t>
            </w:r>
          </w:p>
        </w:tc>
        <w:tc>
          <w:tcPr>
            <w:tcW w:w="620"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424145">
              <w:rPr>
                <w:rFonts w:ascii="Calibri" w:eastAsia="Times New Roman" w:hAnsi="Calibri" w:cs="Calibri"/>
                <w:lang w:val="en-US" w:eastAsia="en-GB"/>
              </w:rPr>
              <w:t>7.2</w:t>
            </w:r>
          </w:p>
        </w:tc>
        <w:tc>
          <w:tcPr>
            <w:tcW w:w="620"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424145">
              <w:rPr>
                <w:rFonts w:ascii="Calibri" w:eastAsia="Times New Roman" w:hAnsi="Calibri" w:cs="Calibri"/>
                <w:lang w:val="en-US" w:eastAsia="en-GB"/>
              </w:rPr>
              <w:t>0.9</w:t>
            </w:r>
          </w:p>
        </w:tc>
      </w:tr>
      <w:tr w:rsidR="00022DF7" w:rsidRPr="00E14DF8" w:rsidTr="00424145">
        <w:trPr>
          <w:cantSplit/>
        </w:trPr>
        <w:tc>
          <w:tcPr>
            <w:tcW w:w="1381" w:type="pct"/>
            <w:tcBorders>
              <w:top w:val="nil"/>
              <w:left w:val="nil"/>
              <w:bottom w:val="nil"/>
              <w:right w:val="nil"/>
            </w:tcBorders>
          </w:tcPr>
          <w:p w:rsidR="00022DF7" w:rsidRPr="00424145" w:rsidRDefault="00424145" w:rsidP="00424145">
            <w:pPr>
              <w:tabs>
                <w:tab w:val="right" w:leader="dot" w:pos="2600"/>
                <w:tab w:val="center" w:pos="4677"/>
                <w:tab w:val="right" w:pos="9355"/>
              </w:tabs>
              <w:suppressAutoHyphens/>
              <w:ind w:left="200" w:hanging="200"/>
              <w:rPr>
                <w:rFonts w:ascii="Calibri" w:eastAsia="Times New Roman" w:hAnsi="Calibri" w:cs="Calibri"/>
                <w:lang w:val="en-US" w:eastAsia="en-GB"/>
              </w:rPr>
            </w:pPr>
            <w:r>
              <w:rPr>
                <w:rFonts w:ascii="Calibri" w:eastAsia="Times New Roman" w:hAnsi="Calibri" w:cs="Calibri"/>
                <w:lang w:val="en-US" w:eastAsia="en-GB"/>
              </w:rPr>
              <w:t>Depreciation and amortization</w:t>
            </w:r>
          </w:p>
        </w:tc>
        <w:tc>
          <w:tcPr>
            <w:tcW w:w="88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(1,977.3)</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2.1</w:t>
            </w:r>
          </w:p>
        </w:tc>
        <w:tc>
          <w:tcPr>
            <w:tcW w:w="878"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(1,572.0)</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1.9</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0.2</w:t>
            </w:r>
          </w:p>
        </w:tc>
      </w:tr>
      <w:tr w:rsidR="00022DF7" w:rsidRPr="00E14DF8" w:rsidTr="00424145">
        <w:trPr>
          <w:cantSplit/>
        </w:trPr>
        <w:tc>
          <w:tcPr>
            <w:tcW w:w="1381" w:type="pct"/>
            <w:tcBorders>
              <w:top w:val="nil"/>
              <w:left w:val="nil"/>
              <w:bottom w:val="nil"/>
              <w:right w:val="nil"/>
            </w:tcBorders>
          </w:tcPr>
          <w:p w:rsidR="00022DF7" w:rsidRPr="00424145" w:rsidRDefault="00022DF7" w:rsidP="00424145">
            <w:pPr>
              <w:tabs>
                <w:tab w:val="right" w:leader="dot" w:pos="2600"/>
                <w:tab w:val="center" w:pos="4677"/>
                <w:tab w:val="right" w:pos="9355"/>
              </w:tabs>
              <w:suppressAutoHyphens/>
              <w:ind w:left="200" w:hanging="200"/>
              <w:rPr>
                <w:rFonts w:ascii="Calibri" w:eastAsia="Times New Roman" w:hAnsi="Calibri" w:cs="Calibri"/>
                <w:lang w:val="en-US" w:eastAsia="en-GB"/>
              </w:rPr>
            </w:pPr>
            <w:r w:rsidRPr="00424145">
              <w:rPr>
                <w:rFonts w:ascii="Calibri" w:eastAsia="Times New Roman" w:hAnsi="Calibri" w:cs="Calibri"/>
                <w:lang w:val="en-US" w:eastAsia="en-GB"/>
              </w:rPr>
              <w:t>Operating leases</w:t>
            </w:r>
          </w:p>
        </w:tc>
        <w:tc>
          <w:tcPr>
            <w:tcW w:w="88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(1,672.6)</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1.8</w:t>
            </w:r>
          </w:p>
        </w:tc>
        <w:tc>
          <w:tcPr>
            <w:tcW w:w="878"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(1,069,9)</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1.3</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0.5</w:t>
            </w:r>
          </w:p>
        </w:tc>
      </w:tr>
      <w:tr w:rsidR="00022DF7" w:rsidRPr="00E14DF8" w:rsidTr="00424145">
        <w:trPr>
          <w:cantSplit/>
        </w:trPr>
        <w:tc>
          <w:tcPr>
            <w:tcW w:w="1381" w:type="pct"/>
            <w:tcBorders>
              <w:top w:val="nil"/>
              <w:left w:val="nil"/>
              <w:bottom w:val="nil"/>
              <w:right w:val="nil"/>
            </w:tcBorders>
          </w:tcPr>
          <w:p w:rsidR="00022DF7" w:rsidRPr="00424145" w:rsidRDefault="00022DF7" w:rsidP="00424145">
            <w:pPr>
              <w:tabs>
                <w:tab w:val="right" w:leader="dot" w:pos="2600"/>
                <w:tab w:val="center" w:pos="4677"/>
                <w:tab w:val="right" w:pos="9355"/>
              </w:tabs>
              <w:suppressAutoHyphens/>
              <w:ind w:left="200" w:hanging="200"/>
              <w:rPr>
                <w:rFonts w:ascii="Calibri" w:eastAsia="Times New Roman" w:hAnsi="Calibri" w:cs="Calibri"/>
                <w:lang w:val="en-US" w:eastAsia="en-GB"/>
              </w:rPr>
            </w:pPr>
            <w:r w:rsidRPr="00424145">
              <w:rPr>
                <w:rFonts w:ascii="Calibri" w:eastAsia="Times New Roman" w:hAnsi="Calibri" w:cs="Calibri"/>
                <w:lang w:val="en-US" w:eastAsia="en-GB"/>
              </w:rPr>
              <w:t>Communication and utilities</w:t>
            </w:r>
          </w:p>
        </w:tc>
        <w:tc>
          <w:tcPr>
            <w:tcW w:w="88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(1,503.2)</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1.6</w:t>
            </w:r>
          </w:p>
        </w:tc>
        <w:tc>
          <w:tcPr>
            <w:tcW w:w="878"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(1,101.4)</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1.3</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0.3</w:t>
            </w:r>
          </w:p>
        </w:tc>
      </w:tr>
      <w:tr w:rsidR="00022DF7" w:rsidRPr="00E14DF8" w:rsidTr="00424145">
        <w:trPr>
          <w:cantSplit/>
        </w:trPr>
        <w:tc>
          <w:tcPr>
            <w:tcW w:w="1381" w:type="pct"/>
            <w:tcBorders>
              <w:top w:val="nil"/>
              <w:left w:val="nil"/>
              <w:bottom w:val="nil"/>
              <w:right w:val="nil"/>
            </w:tcBorders>
          </w:tcPr>
          <w:p w:rsidR="00022DF7" w:rsidRPr="00424145" w:rsidRDefault="00022DF7" w:rsidP="00424145">
            <w:pPr>
              <w:tabs>
                <w:tab w:val="right" w:leader="dot" w:pos="2600"/>
                <w:tab w:val="center" w:pos="4677"/>
                <w:tab w:val="right" w:pos="9355"/>
              </w:tabs>
              <w:suppressAutoHyphens/>
              <w:ind w:left="200" w:hanging="200"/>
              <w:rPr>
                <w:rFonts w:ascii="Calibri" w:eastAsia="Times New Roman" w:hAnsi="Calibri" w:cs="Calibri"/>
                <w:lang w:val="en-US" w:eastAsia="en-GB"/>
              </w:rPr>
            </w:pPr>
            <w:r w:rsidRPr="00424145">
              <w:rPr>
                <w:rFonts w:ascii="Calibri" w:eastAsia="Times New Roman" w:hAnsi="Calibri" w:cs="Calibri"/>
                <w:lang w:val="en-US" w:eastAsia="en-GB"/>
              </w:rPr>
              <w:t>Security expenses</w:t>
            </w:r>
          </w:p>
        </w:tc>
        <w:tc>
          <w:tcPr>
            <w:tcW w:w="88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(659.7)</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0.7</w:t>
            </w:r>
          </w:p>
        </w:tc>
        <w:tc>
          <w:tcPr>
            <w:tcW w:w="878"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(520.8)</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0.6</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0.1</w:t>
            </w:r>
          </w:p>
        </w:tc>
      </w:tr>
      <w:tr w:rsidR="00022DF7" w:rsidRPr="00E14DF8" w:rsidTr="00424145">
        <w:trPr>
          <w:cantSplit/>
        </w:trPr>
        <w:tc>
          <w:tcPr>
            <w:tcW w:w="1381" w:type="pct"/>
            <w:tcBorders>
              <w:top w:val="nil"/>
              <w:left w:val="nil"/>
              <w:bottom w:val="nil"/>
              <w:right w:val="nil"/>
            </w:tcBorders>
          </w:tcPr>
          <w:p w:rsidR="00022DF7" w:rsidRPr="00424145" w:rsidRDefault="00022DF7" w:rsidP="00424145">
            <w:pPr>
              <w:tabs>
                <w:tab w:val="right" w:leader="dot" w:pos="2600"/>
                <w:tab w:val="center" w:pos="4677"/>
                <w:tab w:val="right" w:pos="9355"/>
              </w:tabs>
              <w:suppressAutoHyphens/>
              <w:ind w:left="200" w:hanging="200"/>
              <w:rPr>
                <w:rFonts w:ascii="Calibri" w:eastAsia="Times New Roman" w:hAnsi="Calibri" w:cs="Calibri"/>
                <w:lang w:val="en-US" w:eastAsia="en-GB"/>
              </w:rPr>
            </w:pPr>
            <w:r w:rsidRPr="00424145">
              <w:rPr>
                <w:rFonts w:ascii="Calibri" w:eastAsia="Times New Roman" w:hAnsi="Calibri" w:cs="Calibri"/>
                <w:lang w:val="en-US" w:eastAsia="en-GB"/>
              </w:rPr>
              <w:t>Advertising and marketing</w:t>
            </w:r>
          </w:p>
        </w:tc>
        <w:tc>
          <w:tcPr>
            <w:tcW w:w="88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(508.3)</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0.5</w:t>
            </w:r>
          </w:p>
        </w:tc>
        <w:tc>
          <w:tcPr>
            <w:tcW w:w="878"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(429.9)</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0.5</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0.0</w:t>
            </w:r>
          </w:p>
        </w:tc>
      </w:tr>
      <w:tr w:rsidR="00022DF7" w:rsidRPr="00E14DF8" w:rsidTr="00424145">
        <w:trPr>
          <w:cantSplit/>
        </w:trPr>
        <w:tc>
          <w:tcPr>
            <w:tcW w:w="1381" w:type="pct"/>
            <w:tcBorders>
              <w:top w:val="nil"/>
              <w:left w:val="nil"/>
              <w:bottom w:val="nil"/>
              <w:right w:val="nil"/>
            </w:tcBorders>
          </w:tcPr>
          <w:p w:rsidR="00022DF7" w:rsidRPr="00424145" w:rsidRDefault="00022DF7" w:rsidP="00424145">
            <w:pPr>
              <w:tabs>
                <w:tab w:val="right" w:leader="dot" w:pos="2600"/>
                <w:tab w:val="center" w:pos="4677"/>
                <w:tab w:val="right" w:pos="9355"/>
              </w:tabs>
              <w:suppressAutoHyphens/>
              <w:ind w:left="200" w:hanging="200"/>
              <w:rPr>
                <w:rFonts w:ascii="Calibri" w:eastAsia="Times New Roman" w:hAnsi="Calibri" w:cs="Calibri"/>
                <w:lang w:val="en-US" w:eastAsia="en-GB"/>
              </w:rPr>
            </w:pPr>
            <w:r w:rsidRPr="00424145">
              <w:rPr>
                <w:rFonts w:ascii="Calibri" w:eastAsia="Times New Roman" w:hAnsi="Calibri" w:cs="Calibri"/>
                <w:lang w:val="en-US" w:eastAsia="en-GB"/>
              </w:rPr>
              <w:t>Materials and supplies</w:t>
            </w:r>
          </w:p>
        </w:tc>
        <w:tc>
          <w:tcPr>
            <w:tcW w:w="88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(404.6)</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0.4</w:t>
            </w:r>
          </w:p>
        </w:tc>
        <w:tc>
          <w:tcPr>
            <w:tcW w:w="878"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(357.5)</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0.4</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0.0</w:t>
            </w:r>
          </w:p>
        </w:tc>
      </w:tr>
      <w:tr w:rsidR="00022DF7" w:rsidRPr="00E14DF8" w:rsidTr="00424145">
        <w:trPr>
          <w:cantSplit/>
        </w:trPr>
        <w:tc>
          <w:tcPr>
            <w:tcW w:w="1381" w:type="pct"/>
            <w:tcBorders>
              <w:top w:val="nil"/>
              <w:left w:val="nil"/>
              <w:bottom w:val="nil"/>
              <w:right w:val="nil"/>
            </w:tcBorders>
          </w:tcPr>
          <w:p w:rsidR="00022DF7" w:rsidRPr="00424145" w:rsidRDefault="00022DF7" w:rsidP="00424145">
            <w:pPr>
              <w:tabs>
                <w:tab w:val="right" w:leader="dot" w:pos="2600"/>
                <w:tab w:val="center" w:pos="4677"/>
                <w:tab w:val="right" w:pos="9355"/>
              </w:tabs>
              <w:suppressAutoHyphens/>
              <w:ind w:left="200" w:hanging="200"/>
              <w:rPr>
                <w:rFonts w:ascii="Calibri" w:eastAsia="Times New Roman" w:hAnsi="Calibri" w:cs="Calibri"/>
                <w:lang w:val="en-US" w:eastAsia="en-GB"/>
              </w:rPr>
            </w:pPr>
            <w:r w:rsidRPr="00424145">
              <w:rPr>
                <w:rFonts w:ascii="Calibri" w:eastAsia="Times New Roman" w:hAnsi="Calibri" w:cs="Calibri"/>
                <w:lang w:val="en-US" w:eastAsia="en-GB"/>
              </w:rPr>
              <w:t>Operating taxes</w:t>
            </w:r>
          </w:p>
        </w:tc>
        <w:tc>
          <w:tcPr>
            <w:tcW w:w="88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(369.1)</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0.4</w:t>
            </w:r>
          </w:p>
        </w:tc>
        <w:tc>
          <w:tcPr>
            <w:tcW w:w="878"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(348.9)</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0.4</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0.0</w:t>
            </w:r>
          </w:p>
        </w:tc>
      </w:tr>
      <w:tr w:rsidR="00022DF7" w:rsidRPr="00E14DF8" w:rsidTr="00424145">
        <w:trPr>
          <w:cantSplit/>
        </w:trPr>
        <w:tc>
          <w:tcPr>
            <w:tcW w:w="1381" w:type="pct"/>
            <w:tcBorders>
              <w:top w:val="nil"/>
              <w:left w:val="nil"/>
              <w:bottom w:val="nil"/>
              <w:right w:val="nil"/>
            </w:tcBorders>
          </w:tcPr>
          <w:p w:rsidR="00022DF7" w:rsidRPr="00424145" w:rsidRDefault="00424145" w:rsidP="00022DF7">
            <w:pPr>
              <w:tabs>
                <w:tab w:val="right" w:leader="dot" w:pos="2600"/>
                <w:tab w:val="center" w:pos="4677"/>
                <w:tab w:val="right" w:pos="9355"/>
              </w:tabs>
              <w:suppressAutoHyphens/>
              <w:ind w:left="200" w:hanging="200"/>
              <w:rPr>
                <w:rFonts w:ascii="Calibri" w:eastAsia="Times New Roman" w:hAnsi="Calibri" w:cs="Calibri"/>
                <w:lang w:val="en-US" w:eastAsia="en-GB"/>
              </w:rPr>
            </w:pPr>
            <w:r>
              <w:rPr>
                <w:rFonts w:ascii="Calibri" w:eastAsia="Times New Roman" w:hAnsi="Calibri" w:cs="Calibri"/>
                <w:lang w:val="en-US" w:eastAsia="en-GB"/>
              </w:rPr>
              <w:t>Insurance and bank commission</w:t>
            </w:r>
          </w:p>
        </w:tc>
        <w:tc>
          <w:tcPr>
            <w:tcW w:w="880"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(349.4)</w:t>
            </w:r>
          </w:p>
        </w:tc>
        <w:tc>
          <w:tcPr>
            <w:tcW w:w="620"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424145">
              <w:rPr>
                <w:rFonts w:ascii="Calibri" w:eastAsia="Times New Roman" w:hAnsi="Calibri" w:cs="Calibri"/>
                <w:lang w:val="en-US" w:eastAsia="en-GB"/>
              </w:rPr>
              <w:t>0.4</w:t>
            </w:r>
          </w:p>
        </w:tc>
        <w:tc>
          <w:tcPr>
            <w:tcW w:w="878"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424145">
              <w:rPr>
                <w:rFonts w:ascii="Calibri" w:eastAsia="Times New Roman" w:hAnsi="Calibri" w:cs="Calibri"/>
                <w:lang w:val="en-US" w:eastAsia="en-GB"/>
              </w:rPr>
              <w:t>(327.8)</w:t>
            </w:r>
          </w:p>
        </w:tc>
        <w:tc>
          <w:tcPr>
            <w:tcW w:w="620"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424145">
              <w:rPr>
                <w:rFonts w:ascii="Calibri" w:eastAsia="Times New Roman" w:hAnsi="Calibri" w:cs="Calibri"/>
                <w:lang w:val="en-US" w:eastAsia="en-GB"/>
              </w:rPr>
              <w:t>0.4</w:t>
            </w:r>
          </w:p>
        </w:tc>
        <w:tc>
          <w:tcPr>
            <w:tcW w:w="620" w:type="pct"/>
            <w:tcBorders>
              <w:top w:val="nil"/>
              <w:left w:val="nil"/>
              <w:bottom w:val="nil"/>
              <w:right w:val="nil"/>
            </w:tcBorders>
            <w:vAlign w:val="bottom"/>
          </w:tcPr>
          <w:p w:rsidR="00022DF7" w:rsidRPr="00424145"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424145">
              <w:rPr>
                <w:rFonts w:ascii="Calibri" w:eastAsia="Times New Roman" w:hAnsi="Calibri" w:cs="Calibri"/>
                <w:lang w:val="en-US" w:eastAsia="en-GB"/>
              </w:rPr>
              <w:t>0.0</w:t>
            </w:r>
          </w:p>
        </w:tc>
      </w:tr>
      <w:tr w:rsidR="00022DF7" w:rsidRPr="00E14DF8" w:rsidTr="00424145">
        <w:trPr>
          <w:cantSplit/>
        </w:trPr>
        <w:tc>
          <w:tcPr>
            <w:tcW w:w="1381" w:type="pct"/>
            <w:tcBorders>
              <w:top w:val="nil"/>
              <w:left w:val="nil"/>
              <w:bottom w:val="nil"/>
              <w:right w:val="nil"/>
            </w:tcBorders>
          </w:tcPr>
          <w:p w:rsidR="00022DF7" w:rsidRPr="00424145" w:rsidRDefault="00022DF7" w:rsidP="00424145">
            <w:pPr>
              <w:tabs>
                <w:tab w:val="right" w:leader="dot" w:pos="2600"/>
                <w:tab w:val="center" w:pos="4677"/>
                <w:tab w:val="right" w:pos="9355"/>
              </w:tabs>
              <w:suppressAutoHyphens/>
              <w:ind w:left="200" w:hanging="200"/>
              <w:rPr>
                <w:rFonts w:ascii="Calibri" w:eastAsia="Times New Roman" w:hAnsi="Calibri" w:cs="Calibri"/>
                <w:lang w:val="en-US" w:eastAsia="en-GB"/>
              </w:rPr>
            </w:pPr>
            <w:r w:rsidRPr="00424145">
              <w:rPr>
                <w:rFonts w:ascii="Calibri" w:eastAsia="Times New Roman" w:hAnsi="Calibri" w:cs="Calibri"/>
                <w:lang w:val="en-US" w:eastAsia="en-GB"/>
              </w:rPr>
              <w:t>Repairs and maintenance costs</w:t>
            </w:r>
          </w:p>
        </w:tc>
        <w:tc>
          <w:tcPr>
            <w:tcW w:w="88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(308.1)</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0.3</w:t>
            </w:r>
          </w:p>
        </w:tc>
        <w:tc>
          <w:tcPr>
            <w:tcW w:w="878"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(257.1)</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0.3</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0.0</w:t>
            </w:r>
          </w:p>
        </w:tc>
      </w:tr>
      <w:tr w:rsidR="00022DF7" w:rsidRPr="00E14DF8" w:rsidTr="00424145">
        <w:trPr>
          <w:cantSplit/>
        </w:trPr>
        <w:tc>
          <w:tcPr>
            <w:tcW w:w="1381" w:type="pct"/>
            <w:tcBorders>
              <w:top w:val="nil"/>
              <w:left w:val="nil"/>
              <w:bottom w:val="nil"/>
              <w:right w:val="nil"/>
            </w:tcBorders>
          </w:tcPr>
          <w:p w:rsidR="00022DF7" w:rsidRPr="00424145" w:rsidRDefault="00022DF7" w:rsidP="00424145">
            <w:pPr>
              <w:tabs>
                <w:tab w:val="right" w:leader="dot" w:pos="2600"/>
                <w:tab w:val="center" w:pos="4677"/>
                <w:tab w:val="right" w:pos="9355"/>
              </w:tabs>
              <w:suppressAutoHyphens/>
              <w:ind w:left="200" w:hanging="200"/>
              <w:rPr>
                <w:rFonts w:ascii="Calibri" w:eastAsia="Times New Roman" w:hAnsi="Calibri" w:cs="Calibri"/>
                <w:lang w:val="en-US" w:eastAsia="en-GB"/>
              </w:rPr>
            </w:pPr>
            <w:r w:rsidRPr="00424145">
              <w:rPr>
                <w:rFonts w:ascii="Calibri" w:eastAsia="Times New Roman" w:hAnsi="Calibri" w:cs="Calibri"/>
                <w:lang w:val="en-US" w:eastAsia="en-GB"/>
              </w:rPr>
              <w:t>Legal and professional expenses</w:t>
            </w:r>
          </w:p>
        </w:tc>
        <w:tc>
          <w:tcPr>
            <w:tcW w:w="88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(262.0)</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0.3</w:t>
            </w:r>
          </w:p>
        </w:tc>
        <w:tc>
          <w:tcPr>
            <w:tcW w:w="878"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(163.3)</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0.2</w:t>
            </w:r>
          </w:p>
        </w:tc>
        <w:tc>
          <w:tcPr>
            <w:tcW w:w="620" w:type="pct"/>
            <w:tcBorders>
              <w:top w:val="nil"/>
              <w:left w:val="nil"/>
              <w:bottom w:val="nil"/>
              <w:right w:val="nil"/>
            </w:tcBorders>
            <w:vAlign w:val="bottom"/>
          </w:tcPr>
          <w:p w:rsidR="00022DF7" w:rsidRPr="00424145" w:rsidRDefault="00022DF7" w:rsidP="00424145">
            <w:pP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rPr>
                <w:rFonts w:ascii="Calibri" w:eastAsia="Times New Roman" w:hAnsi="Calibri" w:cs="Calibri"/>
                <w:lang w:val="en-US" w:eastAsia="en-GB"/>
              </w:rPr>
            </w:pPr>
            <w:r w:rsidRPr="00424145">
              <w:rPr>
                <w:rFonts w:ascii="Calibri" w:eastAsia="Times New Roman" w:hAnsi="Calibri" w:cs="Calibri"/>
                <w:lang w:val="en-US" w:eastAsia="en-GB"/>
              </w:rPr>
              <w:t>0.1</w:t>
            </w:r>
          </w:p>
        </w:tc>
      </w:tr>
      <w:tr w:rsidR="00022DF7" w:rsidRPr="00E14DF8" w:rsidTr="00424145">
        <w:trPr>
          <w:cantSplit/>
        </w:trPr>
        <w:tc>
          <w:tcPr>
            <w:tcW w:w="1381" w:type="pct"/>
            <w:tcBorders>
              <w:top w:val="nil"/>
              <w:left w:val="nil"/>
              <w:bottom w:val="nil"/>
              <w:right w:val="nil"/>
            </w:tcBorders>
          </w:tcPr>
          <w:p w:rsidR="00022DF7" w:rsidRPr="00E14DF8" w:rsidRDefault="00022DF7" w:rsidP="00022DF7">
            <w:pPr>
              <w:tabs>
                <w:tab w:val="right" w:leader="dot" w:pos="2600"/>
              </w:tabs>
              <w:suppressAutoHyphens/>
              <w:ind w:left="200" w:hanging="200"/>
            </w:pPr>
          </w:p>
        </w:tc>
        <w:tc>
          <w:tcPr>
            <w:tcW w:w="880" w:type="pct"/>
            <w:tcBorders>
              <w:top w:val="nil"/>
              <w:left w:val="nil"/>
              <w:bottom w:val="nil"/>
              <w:right w:val="nil"/>
            </w:tcBorders>
            <w:vAlign w:val="bottom"/>
          </w:tcPr>
          <w:p w:rsidR="00022DF7" w:rsidRPr="00E14DF8"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pPr>
          </w:p>
        </w:tc>
        <w:tc>
          <w:tcPr>
            <w:tcW w:w="620" w:type="pct"/>
            <w:tcBorders>
              <w:top w:val="nil"/>
              <w:left w:val="nil"/>
              <w:bottom w:val="nil"/>
              <w:right w:val="nil"/>
            </w:tcBorders>
            <w:vAlign w:val="bottom"/>
          </w:tcPr>
          <w:p w:rsidR="00022DF7" w:rsidRPr="00E14DF8"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pPr>
          </w:p>
        </w:tc>
        <w:tc>
          <w:tcPr>
            <w:tcW w:w="878" w:type="pct"/>
            <w:tcBorders>
              <w:top w:val="nil"/>
              <w:left w:val="nil"/>
              <w:bottom w:val="nil"/>
              <w:right w:val="nil"/>
            </w:tcBorders>
            <w:vAlign w:val="bottom"/>
          </w:tcPr>
          <w:p w:rsidR="00022DF7" w:rsidRPr="00E14DF8"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pPr>
          </w:p>
        </w:tc>
        <w:tc>
          <w:tcPr>
            <w:tcW w:w="620" w:type="pct"/>
            <w:tcBorders>
              <w:top w:val="nil"/>
              <w:left w:val="nil"/>
              <w:bottom w:val="nil"/>
              <w:right w:val="nil"/>
            </w:tcBorders>
            <w:vAlign w:val="bottom"/>
          </w:tcPr>
          <w:p w:rsidR="00022DF7" w:rsidRPr="00E14DF8"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pPr>
          </w:p>
        </w:tc>
        <w:tc>
          <w:tcPr>
            <w:tcW w:w="620" w:type="pct"/>
            <w:tcBorders>
              <w:top w:val="nil"/>
              <w:left w:val="nil"/>
              <w:bottom w:val="nil"/>
              <w:right w:val="nil"/>
            </w:tcBorders>
            <w:vAlign w:val="bottom"/>
          </w:tcPr>
          <w:p w:rsidR="00022DF7" w:rsidRPr="00E14DF8" w:rsidRDefault="00022DF7" w:rsidP="00022DF7">
            <w:pPr>
              <w:tabs>
                <w:tab w:val="left" w:pos="0"/>
                <w:tab w:val="left" w:pos="216"/>
                <w:tab w:val="left" w:pos="432"/>
                <w:tab w:val="left" w:pos="648"/>
                <w:tab w:val="left" w:pos="864"/>
                <w:tab w:val="left" w:pos="1080"/>
                <w:tab w:val="left" w:pos="1296"/>
                <w:tab w:val="left" w:pos="1512"/>
                <w:tab w:val="left" w:pos="1728"/>
                <w:tab w:val="left" w:pos="1944"/>
              </w:tabs>
              <w:suppressAutoHyphens/>
            </w:pPr>
          </w:p>
        </w:tc>
      </w:tr>
      <w:tr w:rsidR="00022DF7" w:rsidRPr="00E14DF8" w:rsidTr="00424145">
        <w:trPr>
          <w:cantSplit/>
        </w:trPr>
        <w:tc>
          <w:tcPr>
            <w:tcW w:w="1381" w:type="pct"/>
            <w:tcBorders>
              <w:top w:val="nil"/>
              <w:left w:val="nil"/>
              <w:bottom w:val="nil"/>
              <w:right w:val="nil"/>
            </w:tcBorders>
          </w:tcPr>
          <w:p w:rsidR="00022DF7" w:rsidRPr="00E14DF8" w:rsidRDefault="00022DF7" w:rsidP="00022DF7">
            <w:pPr>
              <w:tabs>
                <w:tab w:val="right" w:leader="dot" w:pos="2600"/>
              </w:tabs>
              <w:suppressAutoHyphens/>
              <w:spacing w:after="20"/>
              <w:ind w:left="200" w:hanging="200"/>
            </w:pPr>
            <w:r w:rsidRPr="00424145">
              <w:rPr>
                <w:rFonts w:ascii="Calibri" w:eastAsia="Times New Roman" w:hAnsi="Calibri" w:cs="Calibri"/>
                <w:lang w:val="en-US" w:eastAsia="en-GB"/>
              </w:rPr>
              <w:t>Other costs</w:t>
            </w:r>
          </w:p>
        </w:tc>
        <w:tc>
          <w:tcPr>
            <w:tcW w:w="880" w:type="pct"/>
            <w:tcBorders>
              <w:top w:val="nil"/>
              <w:left w:val="nil"/>
              <w:bottom w:val="nil"/>
              <w:right w:val="nil"/>
            </w:tcBorders>
            <w:vAlign w:val="bottom"/>
          </w:tcPr>
          <w:p w:rsidR="00022DF7" w:rsidRPr="00424145" w:rsidRDefault="00022DF7" w:rsidP="00022DF7">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rFonts w:ascii="Calibri" w:eastAsia="Times New Roman" w:hAnsi="Calibri" w:cs="Calibri"/>
                <w:lang w:val="en-US" w:eastAsia="en-GB"/>
              </w:rPr>
            </w:pPr>
            <w:r w:rsidRPr="00424145">
              <w:rPr>
                <w:rFonts w:ascii="Calibri" w:eastAsia="Times New Roman" w:hAnsi="Calibri" w:cs="Calibri"/>
                <w:lang w:val="en-US" w:eastAsia="en-GB"/>
              </w:rPr>
              <w:t>(197.3)</w:t>
            </w:r>
          </w:p>
        </w:tc>
        <w:tc>
          <w:tcPr>
            <w:tcW w:w="620" w:type="pct"/>
            <w:tcBorders>
              <w:top w:val="nil"/>
              <w:left w:val="nil"/>
              <w:bottom w:val="nil"/>
              <w:right w:val="nil"/>
            </w:tcBorders>
            <w:vAlign w:val="bottom"/>
          </w:tcPr>
          <w:p w:rsidR="00022DF7" w:rsidRPr="00424145" w:rsidRDefault="00022DF7" w:rsidP="00022DF7">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rFonts w:ascii="Calibri" w:eastAsia="Times New Roman" w:hAnsi="Calibri" w:cs="Calibri"/>
                <w:lang w:val="en-US" w:eastAsia="en-GB"/>
              </w:rPr>
            </w:pPr>
            <w:r w:rsidRPr="00424145">
              <w:rPr>
                <w:rFonts w:ascii="Calibri" w:eastAsia="Times New Roman" w:hAnsi="Calibri" w:cs="Calibri"/>
                <w:lang w:val="en-US" w:eastAsia="en-GB"/>
              </w:rPr>
              <w:t>0.2</w:t>
            </w:r>
          </w:p>
        </w:tc>
        <w:tc>
          <w:tcPr>
            <w:tcW w:w="878" w:type="pct"/>
            <w:tcBorders>
              <w:top w:val="nil"/>
              <w:left w:val="nil"/>
              <w:bottom w:val="nil"/>
              <w:right w:val="nil"/>
            </w:tcBorders>
            <w:vAlign w:val="bottom"/>
          </w:tcPr>
          <w:p w:rsidR="00022DF7" w:rsidRPr="00424145" w:rsidRDefault="00022DF7" w:rsidP="00022DF7">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rFonts w:ascii="Calibri" w:eastAsia="Times New Roman" w:hAnsi="Calibri" w:cs="Calibri"/>
                <w:lang w:val="en-US" w:eastAsia="en-GB"/>
              </w:rPr>
            </w:pPr>
            <w:r w:rsidRPr="00424145">
              <w:rPr>
                <w:rFonts w:ascii="Calibri" w:eastAsia="Times New Roman" w:hAnsi="Calibri" w:cs="Calibri"/>
                <w:lang w:val="en-US" w:eastAsia="en-GB"/>
              </w:rPr>
              <w:t>(268.7)</w:t>
            </w:r>
          </w:p>
        </w:tc>
        <w:tc>
          <w:tcPr>
            <w:tcW w:w="620" w:type="pct"/>
            <w:tcBorders>
              <w:top w:val="nil"/>
              <w:left w:val="nil"/>
              <w:bottom w:val="nil"/>
              <w:right w:val="nil"/>
            </w:tcBorders>
            <w:vAlign w:val="bottom"/>
          </w:tcPr>
          <w:p w:rsidR="00022DF7" w:rsidRPr="00424145" w:rsidRDefault="00022DF7" w:rsidP="00022DF7">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rFonts w:ascii="Calibri" w:eastAsia="Times New Roman" w:hAnsi="Calibri" w:cs="Calibri"/>
                <w:lang w:val="en-US" w:eastAsia="en-GB"/>
              </w:rPr>
            </w:pPr>
            <w:r w:rsidRPr="00424145">
              <w:rPr>
                <w:rFonts w:ascii="Calibri" w:eastAsia="Times New Roman" w:hAnsi="Calibri" w:cs="Calibri"/>
                <w:lang w:val="en-US" w:eastAsia="en-GB"/>
              </w:rPr>
              <w:t>0.3</w:t>
            </w:r>
          </w:p>
        </w:tc>
        <w:tc>
          <w:tcPr>
            <w:tcW w:w="620" w:type="pct"/>
            <w:tcBorders>
              <w:top w:val="nil"/>
              <w:left w:val="nil"/>
              <w:bottom w:val="nil"/>
              <w:right w:val="nil"/>
            </w:tcBorders>
            <w:vAlign w:val="bottom"/>
          </w:tcPr>
          <w:p w:rsidR="00022DF7" w:rsidRPr="00424145" w:rsidRDefault="00022DF7" w:rsidP="00022DF7">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rFonts w:ascii="Calibri" w:eastAsia="Times New Roman" w:hAnsi="Calibri" w:cs="Calibri"/>
                <w:lang w:val="en-US" w:eastAsia="en-GB"/>
              </w:rPr>
            </w:pPr>
            <w:r w:rsidRPr="00424145">
              <w:rPr>
                <w:rFonts w:ascii="Calibri" w:eastAsia="Times New Roman" w:hAnsi="Calibri" w:cs="Calibri"/>
                <w:lang w:val="en-US" w:eastAsia="en-GB"/>
              </w:rPr>
              <w:t>(0.1)</w:t>
            </w:r>
          </w:p>
        </w:tc>
      </w:tr>
      <w:tr w:rsidR="00022DF7" w:rsidRPr="00E14DF8" w:rsidTr="00424145">
        <w:trPr>
          <w:cantSplit/>
        </w:trPr>
        <w:tc>
          <w:tcPr>
            <w:tcW w:w="1381" w:type="pct"/>
            <w:tcBorders>
              <w:top w:val="nil"/>
              <w:left w:val="nil"/>
              <w:bottom w:val="nil"/>
              <w:right w:val="nil"/>
            </w:tcBorders>
          </w:tcPr>
          <w:p w:rsidR="00022DF7" w:rsidRPr="006C6326" w:rsidRDefault="00022DF7" w:rsidP="00022DF7">
            <w:pPr>
              <w:tabs>
                <w:tab w:val="right" w:leader="dot" w:pos="2600"/>
              </w:tabs>
              <w:suppressAutoHyphens/>
              <w:spacing w:after="40"/>
              <w:ind w:left="200" w:hanging="200"/>
              <w:rPr>
                <w:lang w:val="en-GB"/>
              </w:rPr>
            </w:pPr>
            <w:r w:rsidRPr="00424145">
              <w:rPr>
                <w:rFonts w:ascii="Calibri" w:eastAsia="Times New Roman" w:hAnsi="Calibri" w:cs="Calibri"/>
                <w:b/>
                <w:bCs/>
                <w:lang w:val="en-US" w:eastAsia="en-GB"/>
              </w:rPr>
              <w:t>Total general, selling and administrative expenses</w:t>
            </w:r>
          </w:p>
        </w:tc>
        <w:tc>
          <w:tcPr>
            <w:tcW w:w="880" w:type="pct"/>
            <w:tcBorders>
              <w:top w:val="nil"/>
              <w:left w:val="nil"/>
              <w:bottom w:val="nil"/>
              <w:right w:val="nil"/>
            </w:tcBorders>
            <w:vAlign w:val="bottom"/>
          </w:tcPr>
          <w:p w:rsidR="00022DF7" w:rsidRPr="00424145" w:rsidRDefault="00022DF7" w:rsidP="00022DF7">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rPr>
                <w:rFonts w:ascii="Calibri" w:eastAsia="Times New Roman" w:hAnsi="Calibri" w:cs="Calibri"/>
                <w:b/>
                <w:bCs/>
                <w:lang w:val="en-US" w:eastAsia="en-GB"/>
              </w:rPr>
            </w:pPr>
            <w:r w:rsidRPr="00424145">
              <w:rPr>
                <w:rFonts w:ascii="Calibri" w:eastAsia="Times New Roman" w:hAnsi="Calibri" w:cs="Calibri"/>
                <w:b/>
                <w:bCs/>
                <w:lang w:val="en-US" w:eastAsia="en-GB"/>
              </w:rPr>
              <w:t>(15,749.9)</w:t>
            </w:r>
          </w:p>
        </w:tc>
        <w:tc>
          <w:tcPr>
            <w:tcW w:w="620" w:type="pct"/>
            <w:tcBorders>
              <w:top w:val="nil"/>
              <w:left w:val="nil"/>
              <w:bottom w:val="nil"/>
              <w:right w:val="nil"/>
            </w:tcBorders>
            <w:vAlign w:val="bottom"/>
          </w:tcPr>
          <w:p w:rsidR="00022DF7" w:rsidRPr="00424145" w:rsidRDefault="00022DF7" w:rsidP="00022DF7">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rPr>
                <w:rFonts w:ascii="Calibri" w:eastAsia="Times New Roman" w:hAnsi="Calibri" w:cs="Calibri"/>
                <w:b/>
                <w:bCs/>
                <w:lang w:val="en-US" w:eastAsia="en-GB"/>
              </w:rPr>
            </w:pPr>
            <w:r w:rsidRPr="00424145">
              <w:rPr>
                <w:rFonts w:ascii="Calibri" w:eastAsia="Times New Roman" w:hAnsi="Calibri" w:cs="Calibri"/>
                <w:b/>
                <w:bCs/>
                <w:lang w:val="en-US" w:eastAsia="en-GB"/>
              </w:rPr>
              <w:t>16.9</w:t>
            </w:r>
          </w:p>
        </w:tc>
        <w:tc>
          <w:tcPr>
            <w:tcW w:w="878" w:type="pct"/>
            <w:tcBorders>
              <w:top w:val="nil"/>
              <w:left w:val="nil"/>
              <w:bottom w:val="nil"/>
              <w:right w:val="nil"/>
            </w:tcBorders>
            <w:vAlign w:val="bottom"/>
          </w:tcPr>
          <w:p w:rsidR="00022DF7" w:rsidRPr="00424145" w:rsidRDefault="00022DF7" w:rsidP="00022DF7">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rPr>
                <w:rFonts w:ascii="Calibri" w:eastAsia="Times New Roman" w:hAnsi="Calibri" w:cs="Calibri"/>
                <w:b/>
                <w:bCs/>
                <w:lang w:val="en-US" w:eastAsia="en-GB"/>
              </w:rPr>
            </w:pPr>
          </w:p>
          <w:p w:rsidR="00022DF7" w:rsidRPr="00424145" w:rsidRDefault="00022DF7" w:rsidP="00022DF7">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rPr>
                <w:rFonts w:ascii="Calibri" w:eastAsia="Times New Roman" w:hAnsi="Calibri" w:cs="Calibri"/>
                <w:b/>
                <w:bCs/>
                <w:lang w:val="en-US" w:eastAsia="en-GB"/>
              </w:rPr>
            </w:pPr>
            <w:r w:rsidRPr="00424145">
              <w:rPr>
                <w:rFonts w:ascii="Calibri" w:eastAsia="Times New Roman" w:hAnsi="Calibri" w:cs="Calibri"/>
                <w:b/>
                <w:bCs/>
                <w:lang w:val="en-US" w:eastAsia="en-GB"/>
              </w:rPr>
              <w:t>(12,406.4)</w:t>
            </w:r>
          </w:p>
        </w:tc>
        <w:tc>
          <w:tcPr>
            <w:tcW w:w="620" w:type="pct"/>
            <w:tcBorders>
              <w:top w:val="nil"/>
              <w:left w:val="nil"/>
              <w:bottom w:val="nil"/>
              <w:right w:val="nil"/>
            </w:tcBorders>
            <w:vAlign w:val="bottom"/>
          </w:tcPr>
          <w:p w:rsidR="00022DF7" w:rsidRPr="00424145" w:rsidRDefault="00022DF7" w:rsidP="00022DF7">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rPr>
                <w:rFonts w:ascii="Calibri" w:eastAsia="Times New Roman" w:hAnsi="Calibri" w:cs="Calibri"/>
                <w:b/>
                <w:bCs/>
                <w:lang w:val="en-US" w:eastAsia="en-GB"/>
              </w:rPr>
            </w:pPr>
            <w:r w:rsidRPr="00424145">
              <w:rPr>
                <w:rFonts w:ascii="Calibri" w:eastAsia="Times New Roman" w:hAnsi="Calibri" w:cs="Calibri"/>
                <w:b/>
                <w:bCs/>
                <w:lang w:val="en-US" w:eastAsia="en-GB"/>
              </w:rPr>
              <w:t>15.0</w:t>
            </w:r>
          </w:p>
        </w:tc>
        <w:tc>
          <w:tcPr>
            <w:tcW w:w="620" w:type="pct"/>
            <w:tcBorders>
              <w:top w:val="nil"/>
              <w:left w:val="nil"/>
              <w:bottom w:val="nil"/>
              <w:right w:val="nil"/>
            </w:tcBorders>
            <w:vAlign w:val="bottom"/>
          </w:tcPr>
          <w:p w:rsidR="00022DF7" w:rsidRPr="00424145" w:rsidRDefault="00022DF7" w:rsidP="00022DF7">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rPr>
                <w:rFonts w:ascii="Calibri" w:eastAsia="Times New Roman" w:hAnsi="Calibri" w:cs="Calibri"/>
                <w:b/>
                <w:bCs/>
                <w:lang w:val="en-US" w:eastAsia="en-GB"/>
              </w:rPr>
            </w:pPr>
            <w:r w:rsidRPr="00424145">
              <w:rPr>
                <w:rFonts w:ascii="Calibri" w:eastAsia="Times New Roman" w:hAnsi="Calibri" w:cs="Calibri"/>
                <w:b/>
                <w:bCs/>
                <w:lang w:val="en-US" w:eastAsia="en-GB"/>
              </w:rPr>
              <w:t>1.9</w:t>
            </w:r>
          </w:p>
        </w:tc>
      </w:tr>
    </w:tbl>
    <w:p w:rsidR="00022DF7" w:rsidRPr="0043403F" w:rsidRDefault="00022DF7" w:rsidP="005B4857">
      <w:pPr>
        <w:keepNext/>
        <w:keepLines/>
        <w:tabs>
          <w:tab w:val="left" w:pos="-720"/>
          <w:tab w:val="left" w:pos="720"/>
          <w:tab w:val="left" w:pos="1440"/>
        </w:tabs>
        <w:suppressAutoHyphens/>
        <w:spacing w:after="240"/>
        <w:rPr>
          <w:rFonts w:ascii="Calibri" w:eastAsia="Times New Roman" w:hAnsi="Calibri" w:cs="Calibri"/>
          <w:i/>
          <w:iCs/>
          <w:lang w:val="en-US" w:eastAsia="en-GB"/>
        </w:rPr>
      </w:pPr>
    </w:p>
    <w:p w:rsidR="00022DF7" w:rsidRPr="006C6326" w:rsidRDefault="0064507C" w:rsidP="0064507C">
      <w:pPr>
        <w:tabs>
          <w:tab w:val="left" w:pos="-720"/>
        </w:tabs>
        <w:suppressAutoHyphens/>
        <w:spacing w:after="240"/>
        <w:jc w:val="both"/>
        <w:rPr>
          <w:rFonts w:ascii="Calibri" w:hAnsi="Calibri"/>
          <w:lang w:val="en-GB"/>
        </w:rPr>
      </w:pPr>
      <w:r w:rsidRPr="006C6326">
        <w:rPr>
          <w:rFonts w:ascii="Calibri" w:hAnsi="Calibri"/>
          <w:lang w:val="en-GB"/>
        </w:rPr>
        <w:t>The Group's general, s</w:t>
      </w:r>
      <w:r w:rsidR="00022DF7" w:rsidRPr="006C6326">
        <w:rPr>
          <w:rFonts w:ascii="Calibri" w:hAnsi="Calibri"/>
          <w:lang w:val="en-GB"/>
        </w:rPr>
        <w:t>elling and</w:t>
      </w:r>
      <w:r w:rsidRPr="006C6326">
        <w:rPr>
          <w:rFonts w:ascii="Calibri" w:hAnsi="Calibri"/>
          <w:lang w:val="en-GB"/>
        </w:rPr>
        <w:t xml:space="preserve"> administrative e</w:t>
      </w:r>
      <w:r w:rsidR="00022DF7" w:rsidRPr="006C6326">
        <w:rPr>
          <w:rFonts w:ascii="Calibri" w:hAnsi="Calibri"/>
          <w:lang w:val="en-GB"/>
        </w:rPr>
        <w:t>xpenses</w:t>
      </w:r>
      <w:r w:rsidRPr="006C6326">
        <w:rPr>
          <w:rFonts w:ascii="Calibri" w:hAnsi="Calibri"/>
          <w:lang w:val="en-GB"/>
        </w:rPr>
        <w:t xml:space="preserve"> increased by 26.9% to RUB 12,406.4 million in 2011, mainly due </w:t>
      </w:r>
      <w:r w:rsidR="00022DF7" w:rsidRPr="006C6326">
        <w:rPr>
          <w:rFonts w:ascii="Calibri" w:hAnsi="Calibri"/>
          <w:lang w:val="en-GB"/>
        </w:rPr>
        <w:t xml:space="preserve">to the growth </w:t>
      </w:r>
      <w:r w:rsidRPr="006C6326">
        <w:rPr>
          <w:rFonts w:ascii="Calibri" w:hAnsi="Calibri"/>
          <w:lang w:val="en-GB"/>
        </w:rPr>
        <w:t>in the Group's</w:t>
      </w:r>
      <w:r w:rsidR="00022DF7" w:rsidRPr="006C6326">
        <w:rPr>
          <w:rFonts w:ascii="Calibri" w:hAnsi="Calibri"/>
          <w:lang w:val="en-GB"/>
        </w:rPr>
        <w:t xml:space="preserve"> operations and increased costs related to personnel, utilities and leases. </w:t>
      </w:r>
      <w:r w:rsidRPr="006C6326">
        <w:rPr>
          <w:rFonts w:ascii="Calibri" w:hAnsi="Calibri"/>
          <w:lang w:val="en-GB"/>
        </w:rPr>
        <w:t xml:space="preserve">The Company also </w:t>
      </w:r>
      <w:r w:rsidR="00022DF7" w:rsidRPr="006C6326">
        <w:rPr>
          <w:rFonts w:ascii="Calibri" w:hAnsi="Calibri"/>
          <w:lang w:val="en-GB"/>
        </w:rPr>
        <w:t xml:space="preserve">incurred substantial costs as an indirect result of the unfortunate accident in </w:t>
      </w:r>
      <w:r w:rsidRPr="006C6326">
        <w:rPr>
          <w:rFonts w:ascii="Calibri" w:hAnsi="Calibri"/>
          <w:lang w:val="en-GB"/>
        </w:rPr>
        <w:t xml:space="preserve">O'KEY's </w:t>
      </w:r>
      <w:proofErr w:type="spellStart"/>
      <w:r w:rsidRPr="006C6326">
        <w:rPr>
          <w:rFonts w:ascii="Calibri" w:hAnsi="Calibri"/>
          <w:lang w:val="en-GB"/>
        </w:rPr>
        <w:t>Ozerki</w:t>
      </w:r>
      <w:proofErr w:type="spellEnd"/>
      <w:r w:rsidRPr="006C6326">
        <w:rPr>
          <w:rFonts w:ascii="Calibri" w:hAnsi="Calibri"/>
          <w:lang w:val="en-GB"/>
        </w:rPr>
        <w:t xml:space="preserve"> store</w:t>
      </w:r>
      <w:r w:rsidR="00022DF7" w:rsidRPr="006C6326">
        <w:rPr>
          <w:rFonts w:ascii="Calibri" w:hAnsi="Calibri"/>
          <w:lang w:val="en-GB"/>
        </w:rPr>
        <w:t>.</w:t>
      </w:r>
    </w:p>
    <w:p w:rsidR="00B64B11" w:rsidRPr="006C6326" w:rsidRDefault="00022DF7" w:rsidP="00B64B11">
      <w:pPr>
        <w:tabs>
          <w:tab w:val="left" w:pos="-720"/>
        </w:tabs>
        <w:suppressAutoHyphens/>
        <w:spacing w:before="240" w:after="240"/>
        <w:jc w:val="both"/>
        <w:rPr>
          <w:rFonts w:ascii="Calibri" w:hAnsi="Calibri"/>
          <w:lang w:val="en-GB"/>
        </w:rPr>
      </w:pPr>
      <w:r w:rsidRPr="006C6326">
        <w:rPr>
          <w:rFonts w:ascii="Calibri" w:hAnsi="Calibri"/>
          <w:lang w:val="en-GB"/>
        </w:rPr>
        <w:t>As a percentage of revenue, our general, selling and administrative expenses increased by 1.9 percentage points to 16.9% for t</w:t>
      </w:r>
      <w:r w:rsidR="00E158F0" w:rsidRPr="006C6326">
        <w:rPr>
          <w:rFonts w:ascii="Calibri" w:hAnsi="Calibri"/>
          <w:lang w:val="en-GB"/>
        </w:rPr>
        <w:t>he year ended 31 December 2011.</w:t>
      </w:r>
      <w:r w:rsidRPr="006C6326">
        <w:rPr>
          <w:rFonts w:ascii="Calibri" w:hAnsi="Calibri"/>
          <w:lang w:val="en-GB"/>
        </w:rPr>
        <w:t xml:space="preserve"> </w:t>
      </w:r>
      <w:r w:rsidR="0064507C" w:rsidRPr="006C6326">
        <w:rPr>
          <w:rFonts w:ascii="Calibri" w:hAnsi="Calibri"/>
          <w:lang w:val="en-GB"/>
        </w:rPr>
        <w:t>Personnel costs increased by 25.9% to RUB 7,538 million</w:t>
      </w:r>
      <w:r w:rsidR="00E158F0" w:rsidRPr="006C6326">
        <w:rPr>
          <w:rFonts w:ascii="Calibri" w:hAnsi="Calibri"/>
          <w:lang w:val="en-GB"/>
        </w:rPr>
        <w:t xml:space="preserve">, reflecting the increased </w:t>
      </w:r>
      <w:r w:rsidRPr="006C6326">
        <w:rPr>
          <w:rFonts w:ascii="Calibri" w:hAnsi="Calibri"/>
          <w:lang w:val="en-GB"/>
        </w:rPr>
        <w:t xml:space="preserve">staffing requirements </w:t>
      </w:r>
      <w:r w:rsidR="00E158F0" w:rsidRPr="006C6326">
        <w:rPr>
          <w:rFonts w:ascii="Calibri" w:hAnsi="Calibri"/>
          <w:lang w:val="en-GB"/>
        </w:rPr>
        <w:t xml:space="preserve">required </w:t>
      </w:r>
      <w:r w:rsidRPr="006C6326">
        <w:rPr>
          <w:rFonts w:ascii="Calibri" w:hAnsi="Calibri"/>
          <w:lang w:val="en-GB"/>
        </w:rPr>
        <w:t xml:space="preserve">for the 14 stores </w:t>
      </w:r>
      <w:r w:rsidR="00E158F0" w:rsidRPr="006C6326">
        <w:rPr>
          <w:rFonts w:ascii="Calibri" w:hAnsi="Calibri"/>
          <w:lang w:val="en-GB"/>
        </w:rPr>
        <w:t xml:space="preserve">O'KEY opened </w:t>
      </w:r>
      <w:r w:rsidRPr="006C6326">
        <w:rPr>
          <w:rFonts w:ascii="Calibri" w:hAnsi="Calibri"/>
          <w:lang w:val="en-GB"/>
        </w:rPr>
        <w:t>in 2011</w:t>
      </w:r>
      <w:r w:rsidR="00B64B11" w:rsidRPr="006C6326">
        <w:rPr>
          <w:rFonts w:ascii="Calibri" w:hAnsi="Calibri"/>
          <w:lang w:val="en-GB"/>
        </w:rPr>
        <w:t xml:space="preserve">. A large proportion of this increase, </w:t>
      </w:r>
      <w:r w:rsidR="00E158F0" w:rsidRPr="006C6326">
        <w:rPr>
          <w:rFonts w:ascii="Calibri" w:hAnsi="Calibri"/>
          <w:lang w:val="en-GB"/>
        </w:rPr>
        <w:t xml:space="preserve">approximately </w:t>
      </w:r>
      <w:r w:rsidRPr="006C6326">
        <w:rPr>
          <w:rFonts w:ascii="Calibri" w:hAnsi="Calibri"/>
          <w:lang w:val="en-GB"/>
        </w:rPr>
        <w:t>40%</w:t>
      </w:r>
      <w:r w:rsidR="00B64B11" w:rsidRPr="006C6326">
        <w:rPr>
          <w:rFonts w:ascii="Calibri" w:hAnsi="Calibri"/>
          <w:lang w:val="en-GB"/>
        </w:rPr>
        <w:t>,</w:t>
      </w:r>
      <w:r w:rsidR="00E158F0" w:rsidRPr="006C6326">
        <w:rPr>
          <w:rFonts w:ascii="Calibri" w:hAnsi="Calibri"/>
          <w:lang w:val="en-GB"/>
        </w:rPr>
        <w:t xml:space="preserve"> was </w:t>
      </w:r>
      <w:r w:rsidRPr="006C6326">
        <w:rPr>
          <w:rFonts w:ascii="Calibri" w:hAnsi="Calibri"/>
          <w:lang w:val="en-GB"/>
        </w:rPr>
        <w:t xml:space="preserve">due </w:t>
      </w:r>
      <w:r w:rsidR="00E158F0" w:rsidRPr="006C6326">
        <w:rPr>
          <w:rFonts w:ascii="Calibri" w:hAnsi="Calibri"/>
          <w:lang w:val="en-GB"/>
        </w:rPr>
        <w:t xml:space="preserve">adjustments made to the </w:t>
      </w:r>
      <w:r w:rsidRPr="006C6326">
        <w:rPr>
          <w:rFonts w:ascii="Calibri" w:hAnsi="Calibri"/>
          <w:lang w:val="en-GB"/>
        </w:rPr>
        <w:t>social tax rate</w:t>
      </w:r>
      <w:r w:rsidR="00E158F0" w:rsidRPr="006C6326">
        <w:rPr>
          <w:rFonts w:ascii="Calibri" w:hAnsi="Calibri"/>
          <w:lang w:val="en-GB"/>
        </w:rPr>
        <w:t xml:space="preserve"> which rose</w:t>
      </w:r>
      <w:r w:rsidRPr="006C6326">
        <w:rPr>
          <w:rFonts w:ascii="Calibri" w:hAnsi="Calibri"/>
          <w:lang w:val="en-GB"/>
        </w:rPr>
        <w:t xml:space="preserve"> fro</w:t>
      </w:r>
      <w:r w:rsidR="00B64B11" w:rsidRPr="006C6326">
        <w:rPr>
          <w:rFonts w:ascii="Calibri" w:hAnsi="Calibri"/>
          <w:lang w:val="en-GB"/>
        </w:rPr>
        <w:t xml:space="preserve">m 26% to 34% on 1 January, 2011, and the indexation of salaries in July was also a contributory factor as was the costs of additional personnel benefits. Subsequently, </w:t>
      </w:r>
      <w:r w:rsidRPr="006C6326">
        <w:rPr>
          <w:rFonts w:ascii="Calibri" w:hAnsi="Calibri"/>
          <w:lang w:val="en-GB"/>
        </w:rPr>
        <w:t xml:space="preserve">as a percentage of revenue, personnel costs increased by 0.9 p.p. </w:t>
      </w:r>
      <w:r w:rsidR="00B64B11" w:rsidRPr="006C6326">
        <w:rPr>
          <w:rFonts w:ascii="Calibri" w:hAnsi="Calibri"/>
          <w:lang w:val="en-GB"/>
        </w:rPr>
        <w:t xml:space="preserve">in 2011 </w:t>
      </w:r>
      <w:r w:rsidRPr="006C6326">
        <w:rPr>
          <w:rFonts w:ascii="Calibri" w:hAnsi="Calibri"/>
          <w:lang w:val="en-GB"/>
        </w:rPr>
        <w:t xml:space="preserve">to 8.1%. </w:t>
      </w:r>
    </w:p>
    <w:p w:rsidR="009D5D84" w:rsidRDefault="00CB1F27" w:rsidP="009D5D84">
      <w:pPr>
        <w:contextualSpacing/>
        <w:jc w:val="both"/>
        <w:rPr>
          <w:rFonts w:ascii="Calibri" w:eastAsia="Times New Roman" w:hAnsi="Calibri" w:cs="Calibri"/>
          <w:lang w:val="en-US" w:eastAsia="en-GB"/>
        </w:rPr>
      </w:pPr>
      <w:r w:rsidRPr="0043403F">
        <w:rPr>
          <w:rFonts w:ascii="Calibri" w:hAnsi="Calibri"/>
          <w:lang w:val="en-GB"/>
        </w:rPr>
        <w:lastRenderedPageBreak/>
        <w:t>Expenses for o</w:t>
      </w:r>
      <w:r w:rsidR="006D0B85" w:rsidRPr="0043403F">
        <w:rPr>
          <w:rFonts w:ascii="Calibri" w:hAnsi="Calibri"/>
          <w:lang w:val="en-GB"/>
        </w:rPr>
        <w:t>perating lease</w:t>
      </w:r>
      <w:r w:rsidRPr="0043403F">
        <w:rPr>
          <w:rFonts w:ascii="Calibri" w:hAnsi="Calibri"/>
          <w:lang w:val="en-GB"/>
        </w:rPr>
        <w:t>s</w:t>
      </w:r>
      <w:r w:rsidR="006D0B85" w:rsidRPr="0043403F">
        <w:rPr>
          <w:rFonts w:ascii="Calibri" w:hAnsi="Calibri"/>
          <w:lang w:val="en-GB"/>
        </w:rPr>
        <w:t xml:space="preserve"> equalled RUB 1,672.6 million in 2011, an increase of 56.3% over the </w:t>
      </w:r>
      <w:r w:rsidR="006D0B85" w:rsidRPr="009D5D84">
        <w:rPr>
          <w:rFonts w:ascii="Calibri" w:eastAsia="Times New Roman" w:hAnsi="Calibri" w:cs="Calibri"/>
          <w:lang w:val="en-US" w:eastAsia="en-GB"/>
        </w:rPr>
        <w:t xml:space="preserve">2010 figure of RUB 1,069.9. </w:t>
      </w:r>
      <w:r w:rsidR="00CD2DE9" w:rsidRPr="009D5D84">
        <w:rPr>
          <w:rFonts w:ascii="Calibri" w:eastAsia="Times New Roman" w:hAnsi="Calibri" w:cs="Calibri"/>
          <w:lang w:val="en-US" w:eastAsia="en-GB"/>
        </w:rPr>
        <w:t>This was primarily due to an increase in the rent we paid on three stores that were transferred under lease-back arrangements in late 2010. These stores were paying rent for the full year in 2011, compared to only paying for a fraction of 2010. Another factor that led to the increase in this expense category is the proportion of leased space we are occupying, which reached 45% of the total space our stores occupy by the end of 2011. We added 5 new leased hypermarkets and 6 new leased supermarkets in 2011, thus increasing leased space by 31% compared to the position at the end of 2010.</w:t>
      </w:r>
    </w:p>
    <w:p w:rsidR="002259C9" w:rsidRPr="009D5D84" w:rsidRDefault="006D0B85" w:rsidP="009D5D84">
      <w:pPr>
        <w:contextualSpacing/>
        <w:jc w:val="both"/>
        <w:rPr>
          <w:rFonts w:ascii="Calibri" w:eastAsia="Times New Roman" w:hAnsi="Calibri" w:cs="Calibri"/>
          <w:lang w:val="en-US" w:eastAsia="en-GB"/>
        </w:rPr>
      </w:pPr>
      <w:r w:rsidRPr="009D5D84">
        <w:rPr>
          <w:rFonts w:ascii="Calibri" w:eastAsia="Times New Roman" w:hAnsi="Calibri" w:cs="Calibri"/>
          <w:lang w:val="en-US" w:eastAsia="en-GB"/>
        </w:rPr>
        <w:t xml:space="preserve"> </w:t>
      </w:r>
    </w:p>
    <w:p w:rsidR="006D0B85" w:rsidRDefault="006D0B85" w:rsidP="009D5D84">
      <w:pPr>
        <w:contextualSpacing/>
        <w:jc w:val="both"/>
        <w:rPr>
          <w:rFonts w:ascii="Calibri" w:eastAsia="Times New Roman" w:hAnsi="Calibri" w:cs="Calibri"/>
          <w:lang w:val="en-US" w:eastAsia="en-GB"/>
        </w:rPr>
      </w:pPr>
      <w:r w:rsidRPr="009D5D84">
        <w:rPr>
          <w:rFonts w:ascii="Calibri" w:eastAsia="Times New Roman" w:hAnsi="Calibri" w:cs="Calibri"/>
          <w:lang w:val="en-US" w:eastAsia="en-GB"/>
        </w:rPr>
        <w:t>Net other operating income and</w:t>
      </w:r>
      <w:r w:rsidR="0094089F" w:rsidRPr="009D5D84">
        <w:rPr>
          <w:rFonts w:ascii="Calibri" w:eastAsia="Times New Roman" w:hAnsi="Calibri" w:cs="Calibri"/>
          <w:lang w:val="en-US" w:eastAsia="en-GB"/>
        </w:rPr>
        <w:t xml:space="preserve"> expenses resulted in a loss of RUB </w:t>
      </w:r>
      <w:r w:rsidRPr="009D5D84">
        <w:rPr>
          <w:rFonts w:ascii="Calibri" w:eastAsia="Times New Roman" w:hAnsi="Calibri" w:cs="Calibri"/>
          <w:lang w:val="en-US" w:eastAsia="en-GB"/>
        </w:rPr>
        <w:t xml:space="preserve">142.6 million in 2011, compared to a loss of RUB 121.7 million in 2010.  This was primarily due to the impairment of raw materials and </w:t>
      </w:r>
      <w:proofErr w:type="spellStart"/>
      <w:r w:rsidRPr="009D5D84">
        <w:rPr>
          <w:rFonts w:ascii="Calibri" w:eastAsia="Times New Roman" w:hAnsi="Calibri" w:cs="Calibri"/>
          <w:lang w:val="en-US" w:eastAsia="en-GB"/>
        </w:rPr>
        <w:t>Ozerki</w:t>
      </w:r>
      <w:proofErr w:type="spellEnd"/>
      <w:r w:rsidRPr="009D5D84">
        <w:rPr>
          <w:rFonts w:ascii="Calibri" w:eastAsia="Times New Roman" w:hAnsi="Calibri" w:cs="Calibri"/>
          <w:lang w:val="en-US" w:eastAsia="en-GB"/>
        </w:rPr>
        <w:t xml:space="preserve">-accident related expenses. Both items are non-recurring one-off expenses. </w:t>
      </w:r>
      <w:r w:rsidR="00B70188" w:rsidRPr="009D5D84">
        <w:rPr>
          <w:rFonts w:ascii="Calibri" w:eastAsia="Times New Roman" w:hAnsi="Calibri" w:cs="Calibri"/>
          <w:lang w:val="en-US" w:eastAsia="en-GB"/>
        </w:rPr>
        <w:t xml:space="preserve">Furthermore, </w:t>
      </w:r>
      <w:r w:rsidRPr="009D5D84">
        <w:rPr>
          <w:rFonts w:ascii="Calibri" w:eastAsia="Times New Roman" w:hAnsi="Calibri" w:cs="Calibri"/>
          <w:lang w:val="en-US" w:eastAsia="en-GB"/>
        </w:rPr>
        <w:t>considerable improvements we</w:t>
      </w:r>
      <w:r w:rsidR="00B70188" w:rsidRPr="009D5D84">
        <w:rPr>
          <w:rFonts w:ascii="Calibri" w:eastAsia="Times New Roman" w:hAnsi="Calibri" w:cs="Calibri"/>
          <w:lang w:val="en-US" w:eastAsia="en-GB"/>
        </w:rPr>
        <w:t>re</w:t>
      </w:r>
      <w:r w:rsidRPr="009D5D84">
        <w:rPr>
          <w:rFonts w:ascii="Calibri" w:eastAsia="Times New Roman" w:hAnsi="Calibri" w:cs="Calibri"/>
          <w:lang w:val="en-US" w:eastAsia="en-GB"/>
        </w:rPr>
        <w:t xml:space="preserve"> made in the collection of receivables</w:t>
      </w:r>
      <w:r w:rsidR="00510BE1" w:rsidRPr="009D5D84">
        <w:rPr>
          <w:rFonts w:ascii="Calibri" w:eastAsia="Times New Roman" w:hAnsi="Calibri" w:cs="Calibri"/>
          <w:lang w:val="en-US" w:eastAsia="en-GB"/>
        </w:rPr>
        <w:t xml:space="preserve">, with the number of </w:t>
      </w:r>
      <w:r w:rsidRPr="009D5D84">
        <w:rPr>
          <w:rFonts w:ascii="Calibri" w:eastAsia="Times New Roman" w:hAnsi="Calibri" w:cs="Calibri"/>
          <w:lang w:val="en-US" w:eastAsia="en-GB"/>
        </w:rPr>
        <w:t xml:space="preserve">receivables </w:t>
      </w:r>
      <w:r w:rsidR="00510BE1" w:rsidRPr="009D5D84">
        <w:rPr>
          <w:rFonts w:ascii="Calibri" w:eastAsia="Times New Roman" w:hAnsi="Calibri" w:cs="Calibri"/>
          <w:lang w:val="en-US" w:eastAsia="en-GB"/>
        </w:rPr>
        <w:t xml:space="preserve">outstanding for </w:t>
      </w:r>
      <w:r w:rsidRPr="009D5D84">
        <w:rPr>
          <w:rFonts w:ascii="Calibri" w:eastAsia="Times New Roman" w:hAnsi="Calibri" w:cs="Calibri"/>
          <w:lang w:val="en-US" w:eastAsia="en-GB"/>
        </w:rPr>
        <w:t>more than 180 days almost halv</w:t>
      </w:r>
      <w:r w:rsidR="00510BE1" w:rsidRPr="009D5D84">
        <w:rPr>
          <w:rFonts w:ascii="Calibri" w:eastAsia="Times New Roman" w:hAnsi="Calibri" w:cs="Calibri"/>
          <w:lang w:val="en-US" w:eastAsia="en-GB"/>
        </w:rPr>
        <w:t>ing</w:t>
      </w:r>
      <w:r w:rsidRPr="009D5D84">
        <w:rPr>
          <w:rFonts w:ascii="Calibri" w:eastAsia="Times New Roman" w:hAnsi="Calibri" w:cs="Calibri"/>
          <w:lang w:val="en-US" w:eastAsia="en-GB"/>
        </w:rPr>
        <w:t xml:space="preserve"> in </w:t>
      </w:r>
      <w:r w:rsidR="0094089F" w:rsidRPr="009D5D84">
        <w:rPr>
          <w:rFonts w:ascii="Calibri" w:eastAsia="Times New Roman" w:hAnsi="Calibri" w:cs="Calibri"/>
          <w:lang w:val="en-US" w:eastAsia="en-GB"/>
        </w:rPr>
        <w:t>2011</w:t>
      </w:r>
      <w:r w:rsidRPr="009D5D84">
        <w:rPr>
          <w:rFonts w:ascii="Calibri" w:eastAsia="Times New Roman" w:hAnsi="Calibri" w:cs="Calibri"/>
          <w:lang w:val="en-US" w:eastAsia="en-GB"/>
        </w:rPr>
        <w:t>.</w:t>
      </w:r>
    </w:p>
    <w:p w:rsidR="009D5D84" w:rsidRPr="009D5D84" w:rsidRDefault="009D5D84" w:rsidP="009D5D84">
      <w:pPr>
        <w:contextualSpacing/>
        <w:jc w:val="both"/>
        <w:rPr>
          <w:rFonts w:ascii="Calibri" w:eastAsia="Times New Roman" w:hAnsi="Calibri" w:cs="Calibri"/>
          <w:lang w:val="en-US" w:eastAsia="en-GB"/>
        </w:rPr>
      </w:pPr>
    </w:p>
    <w:p w:rsidR="006D0B85" w:rsidRDefault="006D0B85" w:rsidP="009D5D84">
      <w:pPr>
        <w:contextualSpacing/>
        <w:jc w:val="both"/>
        <w:rPr>
          <w:rFonts w:ascii="Calibri" w:eastAsia="Times New Roman" w:hAnsi="Calibri" w:cs="Calibri"/>
          <w:lang w:val="en-US" w:eastAsia="en-GB"/>
        </w:rPr>
      </w:pPr>
      <w:r w:rsidRPr="009D5D84">
        <w:rPr>
          <w:rFonts w:ascii="Calibri" w:eastAsia="Times New Roman" w:hAnsi="Calibri" w:cs="Calibri"/>
          <w:lang w:val="en-US" w:eastAsia="en-GB"/>
        </w:rPr>
        <w:t xml:space="preserve">Finance costs decreased by </w:t>
      </w:r>
      <w:r w:rsidR="00B70188" w:rsidRPr="009D5D84">
        <w:rPr>
          <w:rFonts w:ascii="Calibri" w:eastAsia="Times New Roman" w:hAnsi="Calibri" w:cs="Calibri"/>
          <w:lang w:val="en-US" w:eastAsia="en-GB"/>
        </w:rPr>
        <w:t xml:space="preserve">42.5% to </w:t>
      </w:r>
      <w:r w:rsidRPr="009D5D84">
        <w:rPr>
          <w:rFonts w:ascii="Calibri" w:eastAsia="Times New Roman" w:hAnsi="Calibri" w:cs="Calibri"/>
          <w:lang w:val="en-US" w:eastAsia="en-GB"/>
        </w:rPr>
        <w:t>RUB 777.5 million in 2011,</w:t>
      </w:r>
      <w:r w:rsidR="00B70188" w:rsidRPr="009D5D84">
        <w:rPr>
          <w:rFonts w:ascii="Calibri" w:eastAsia="Times New Roman" w:hAnsi="Calibri" w:cs="Calibri"/>
          <w:lang w:val="en-US" w:eastAsia="en-GB"/>
        </w:rPr>
        <w:t xml:space="preserve"> as </w:t>
      </w:r>
      <w:r w:rsidRPr="009D5D84">
        <w:rPr>
          <w:rFonts w:ascii="Calibri" w:eastAsia="Times New Roman" w:hAnsi="Calibri" w:cs="Calibri"/>
          <w:lang w:val="en-US" w:eastAsia="en-GB"/>
        </w:rPr>
        <w:t>the Group</w:t>
      </w:r>
      <w:r w:rsidR="00B70188" w:rsidRPr="009D5D84">
        <w:rPr>
          <w:rFonts w:ascii="Calibri" w:eastAsia="Times New Roman" w:hAnsi="Calibri" w:cs="Calibri"/>
          <w:lang w:val="en-US" w:eastAsia="en-GB"/>
        </w:rPr>
        <w:t xml:space="preserve"> repaid part of its loan portfolio during the year. T</w:t>
      </w:r>
      <w:r w:rsidRPr="009D5D84">
        <w:rPr>
          <w:rFonts w:ascii="Calibri" w:eastAsia="Times New Roman" w:hAnsi="Calibri" w:cs="Calibri"/>
          <w:lang w:val="en-US" w:eastAsia="en-GB"/>
        </w:rPr>
        <w:t xml:space="preserve">he average loan balance in 2011 was </w:t>
      </w:r>
      <w:r w:rsidR="00B70188" w:rsidRPr="009D5D84">
        <w:rPr>
          <w:rFonts w:ascii="Calibri" w:eastAsia="Times New Roman" w:hAnsi="Calibri" w:cs="Calibri"/>
          <w:lang w:val="en-US" w:eastAsia="en-GB"/>
        </w:rPr>
        <w:t xml:space="preserve">therefore </w:t>
      </w:r>
      <w:r w:rsidRPr="009D5D84">
        <w:rPr>
          <w:rFonts w:ascii="Calibri" w:eastAsia="Times New Roman" w:hAnsi="Calibri" w:cs="Calibri"/>
          <w:lang w:val="en-US" w:eastAsia="en-GB"/>
        </w:rPr>
        <w:t xml:space="preserve">below 2010 levels. </w:t>
      </w:r>
      <w:r w:rsidR="00B70188" w:rsidRPr="009D5D84">
        <w:rPr>
          <w:rFonts w:ascii="Calibri" w:eastAsia="Times New Roman" w:hAnsi="Calibri" w:cs="Calibri"/>
          <w:lang w:val="en-US" w:eastAsia="en-GB"/>
        </w:rPr>
        <w:t>The effective interest rate</w:t>
      </w:r>
      <w:r w:rsidRPr="009D5D84">
        <w:rPr>
          <w:rFonts w:ascii="Calibri" w:eastAsia="Times New Roman" w:hAnsi="Calibri" w:cs="Calibri"/>
          <w:lang w:val="en-US" w:eastAsia="en-GB"/>
        </w:rPr>
        <w:t xml:space="preserve"> increased from 8.1% </w:t>
      </w:r>
      <w:r w:rsidR="00B70188" w:rsidRPr="009D5D84">
        <w:rPr>
          <w:rFonts w:ascii="Calibri" w:eastAsia="Times New Roman" w:hAnsi="Calibri" w:cs="Calibri"/>
          <w:lang w:val="en-US" w:eastAsia="en-GB"/>
        </w:rPr>
        <w:t>in</w:t>
      </w:r>
      <w:r w:rsidRPr="009D5D84">
        <w:rPr>
          <w:rFonts w:ascii="Calibri" w:eastAsia="Times New Roman" w:hAnsi="Calibri" w:cs="Calibri"/>
          <w:lang w:val="en-US" w:eastAsia="en-GB"/>
        </w:rPr>
        <w:t xml:space="preserve"> 2010 to 8.2% for the year ended 31 December 2011.</w:t>
      </w:r>
    </w:p>
    <w:p w:rsidR="009D5D84" w:rsidRPr="009D5D84" w:rsidRDefault="009D5D84" w:rsidP="009D5D84">
      <w:pPr>
        <w:contextualSpacing/>
        <w:jc w:val="both"/>
        <w:rPr>
          <w:rFonts w:ascii="Calibri" w:eastAsia="Times New Roman" w:hAnsi="Calibri" w:cs="Calibri"/>
          <w:lang w:val="en-US" w:eastAsia="en-GB"/>
        </w:rPr>
      </w:pPr>
    </w:p>
    <w:p w:rsidR="006D0B85" w:rsidRDefault="006D0B85" w:rsidP="009D5D84">
      <w:pPr>
        <w:contextualSpacing/>
        <w:jc w:val="both"/>
        <w:rPr>
          <w:rFonts w:ascii="Calibri" w:eastAsia="Times New Roman" w:hAnsi="Calibri" w:cs="Calibri"/>
          <w:lang w:val="en-US" w:eastAsia="en-GB"/>
        </w:rPr>
      </w:pPr>
      <w:r w:rsidRPr="009D5D84">
        <w:rPr>
          <w:rFonts w:ascii="Calibri" w:eastAsia="Times New Roman" w:hAnsi="Calibri" w:cs="Calibri"/>
          <w:lang w:val="en-US" w:eastAsia="en-GB"/>
        </w:rPr>
        <w:t xml:space="preserve">Profit before income tax increased by </w:t>
      </w:r>
      <w:r w:rsidR="00D14AB3" w:rsidRPr="009D5D84">
        <w:rPr>
          <w:rFonts w:ascii="Calibri" w:eastAsia="Times New Roman" w:hAnsi="Calibri" w:cs="Calibri"/>
          <w:lang w:val="en-US" w:eastAsia="en-GB"/>
        </w:rPr>
        <w:t xml:space="preserve">9.8% </w:t>
      </w:r>
      <w:r w:rsidRPr="009D5D84">
        <w:rPr>
          <w:rFonts w:ascii="Calibri" w:eastAsia="Times New Roman" w:hAnsi="Calibri" w:cs="Calibri"/>
          <w:lang w:val="en-US" w:eastAsia="en-GB"/>
        </w:rPr>
        <w:t xml:space="preserve">to RUB 4,369.7 million in 2011. </w:t>
      </w:r>
      <w:r w:rsidR="00D14AB3" w:rsidRPr="009D5D84">
        <w:rPr>
          <w:rFonts w:ascii="Calibri" w:eastAsia="Times New Roman" w:hAnsi="Calibri" w:cs="Calibri"/>
          <w:lang w:val="en-US" w:eastAsia="en-GB"/>
        </w:rPr>
        <w:t>The s</w:t>
      </w:r>
      <w:r w:rsidRPr="009D5D84">
        <w:rPr>
          <w:rFonts w:ascii="Calibri" w:eastAsia="Times New Roman" w:hAnsi="Calibri" w:cs="Calibri"/>
          <w:lang w:val="en-US" w:eastAsia="en-GB"/>
        </w:rPr>
        <w:t xml:space="preserve">ignificant improvement over operating profit was achieved due to </w:t>
      </w:r>
      <w:r w:rsidR="00D14AB3" w:rsidRPr="009D5D84">
        <w:rPr>
          <w:rFonts w:ascii="Calibri" w:eastAsia="Times New Roman" w:hAnsi="Calibri" w:cs="Calibri"/>
          <w:lang w:val="en-US" w:eastAsia="en-GB"/>
        </w:rPr>
        <w:t>a</w:t>
      </w:r>
      <w:r w:rsidRPr="009D5D84">
        <w:rPr>
          <w:rFonts w:ascii="Calibri" w:eastAsia="Times New Roman" w:hAnsi="Calibri" w:cs="Calibri"/>
          <w:lang w:val="en-US" w:eastAsia="en-GB"/>
        </w:rPr>
        <w:t xml:space="preserve"> reduction in financing costs</w:t>
      </w:r>
      <w:r w:rsidR="00D14AB3" w:rsidRPr="009D5D84">
        <w:rPr>
          <w:rFonts w:ascii="Calibri" w:eastAsia="Times New Roman" w:hAnsi="Calibri" w:cs="Calibri"/>
          <w:lang w:val="en-US" w:eastAsia="en-GB"/>
        </w:rPr>
        <w:t>, though these savings were</w:t>
      </w:r>
      <w:r w:rsidRPr="009D5D84">
        <w:rPr>
          <w:rFonts w:ascii="Calibri" w:eastAsia="Times New Roman" w:hAnsi="Calibri" w:cs="Calibri"/>
          <w:lang w:val="en-US" w:eastAsia="en-GB"/>
        </w:rPr>
        <w:t xml:space="preserve"> partially offset by foreign exchange losses. </w:t>
      </w:r>
    </w:p>
    <w:p w:rsidR="009D5D84" w:rsidRPr="009D5D84" w:rsidRDefault="009D5D84" w:rsidP="009D5D84">
      <w:pPr>
        <w:contextualSpacing/>
        <w:jc w:val="both"/>
        <w:rPr>
          <w:rFonts w:ascii="Calibri" w:eastAsia="Times New Roman" w:hAnsi="Calibri" w:cs="Calibri"/>
          <w:lang w:val="en-US" w:eastAsia="en-GB"/>
        </w:rPr>
      </w:pPr>
    </w:p>
    <w:p w:rsidR="006D0B85" w:rsidRDefault="006D0B85" w:rsidP="009D5D84">
      <w:pPr>
        <w:contextualSpacing/>
        <w:jc w:val="both"/>
        <w:rPr>
          <w:rFonts w:ascii="Calibri" w:eastAsia="Times New Roman" w:hAnsi="Calibri" w:cs="Calibri"/>
          <w:lang w:val="en-US" w:eastAsia="en-GB"/>
        </w:rPr>
      </w:pPr>
      <w:r w:rsidRPr="009D5D84">
        <w:rPr>
          <w:rFonts w:ascii="Calibri" w:eastAsia="Times New Roman" w:hAnsi="Calibri" w:cs="Calibri"/>
          <w:lang w:val="en-US" w:eastAsia="en-GB"/>
        </w:rPr>
        <w:t xml:space="preserve">The total income tax expense decreased by 10.5% to RUB 1,129.7 million in the year ended 31 December 2011, primarily due to the increased profit </w:t>
      </w:r>
      <w:r w:rsidR="00D14AB3" w:rsidRPr="009D5D84">
        <w:rPr>
          <w:rFonts w:ascii="Calibri" w:eastAsia="Times New Roman" w:hAnsi="Calibri" w:cs="Calibri"/>
          <w:lang w:val="en-US" w:eastAsia="en-GB"/>
        </w:rPr>
        <w:t>generated by O’KEY’s</w:t>
      </w:r>
      <w:r w:rsidRPr="009D5D84">
        <w:rPr>
          <w:rFonts w:ascii="Calibri" w:eastAsia="Times New Roman" w:hAnsi="Calibri" w:cs="Calibri"/>
          <w:lang w:val="en-US" w:eastAsia="en-GB"/>
        </w:rPr>
        <w:t xml:space="preserve"> retail operations.</w:t>
      </w:r>
    </w:p>
    <w:p w:rsidR="009D5D84" w:rsidRPr="009D5D84" w:rsidRDefault="009D5D84" w:rsidP="009D5D84">
      <w:pPr>
        <w:contextualSpacing/>
        <w:jc w:val="both"/>
        <w:rPr>
          <w:rFonts w:ascii="Calibri" w:eastAsia="Times New Roman" w:hAnsi="Calibri" w:cs="Calibri"/>
          <w:lang w:val="en-US" w:eastAsia="en-GB"/>
        </w:rPr>
      </w:pPr>
    </w:p>
    <w:p w:rsidR="006D0B85" w:rsidRPr="009D5D84" w:rsidRDefault="006D0B85" w:rsidP="009D5D84">
      <w:pPr>
        <w:contextualSpacing/>
        <w:jc w:val="both"/>
        <w:rPr>
          <w:rFonts w:ascii="Calibri" w:eastAsia="Times New Roman" w:hAnsi="Calibri" w:cs="Calibri"/>
          <w:lang w:val="en-US" w:eastAsia="en-GB"/>
        </w:rPr>
      </w:pPr>
      <w:r w:rsidRPr="009D5D84">
        <w:rPr>
          <w:rFonts w:ascii="Calibri" w:eastAsia="Times New Roman" w:hAnsi="Calibri" w:cs="Calibri"/>
          <w:lang w:val="en-US" w:eastAsia="en-GB"/>
        </w:rPr>
        <w:t xml:space="preserve">As a result developments described above, </w:t>
      </w:r>
      <w:r w:rsidR="00D14AB3" w:rsidRPr="009D5D84">
        <w:rPr>
          <w:rFonts w:ascii="Calibri" w:eastAsia="Times New Roman" w:hAnsi="Calibri" w:cs="Calibri"/>
          <w:lang w:val="en-US" w:eastAsia="en-GB"/>
        </w:rPr>
        <w:t xml:space="preserve">O’KEY Group is generated a 20.7% increase in net </w:t>
      </w:r>
      <w:r w:rsidRPr="009D5D84">
        <w:rPr>
          <w:rFonts w:ascii="Calibri" w:eastAsia="Times New Roman" w:hAnsi="Calibri" w:cs="Calibri"/>
          <w:lang w:val="en-US" w:eastAsia="en-GB"/>
        </w:rPr>
        <w:t>to RUB 3,239.9 million</w:t>
      </w:r>
      <w:r w:rsidR="00D14AB3" w:rsidRPr="009D5D84">
        <w:rPr>
          <w:rFonts w:ascii="Calibri" w:eastAsia="Times New Roman" w:hAnsi="Calibri" w:cs="Calibri"/>
          <w:lang w:val="en-US" w:eastAsia="en-GB"/>
        </w:rPr>
        <w:t xml:space="preserve"> in 2011</w:t>
      </w:r>
      <w:r w:rsidRPr="009D5D84">
        <w:rPr>
          <w:rFonts w:ascii="Calibri" w:eastAsia="Times New Roman" w:hAnsi="Calibri" w:cs="Calibri"/>
          <w:lang w:val="en-US" w:eastAsia="en-GB"/>
        </w:rPr>
        <w:t xml:space="preserve">, compared to RUB 2,684.0 million </w:t>
      </w:r>
      <w:r w:rsidR="00D14AB3" w:rsidRPr="009D5D84">
        <w:rPr>
          <w:rFonts w:ascii="Calibri" w:eastAsia="Times New Roman" w:hAnsi="Calibri" w:cs="Calibri"/>
          <w:lang w:val="en-US" w:eastAsia="en-GB"/>
        </w:rPr>
        <w:t>in</w:t>
      </w:r>
      <w:r w:rsidRPr="009D5D84">
        <w:rPr>
          <w:rFonts w:ascii="Calibri" w:eastAsia="Times New Roman" w:hAnsi="Calibri" w:cs="Calibri"/>
          <w:lang w:val="en-US" w:eastAsia="en-GB"/>
        </w:rPr>
        <w:t xml:space="preserve"> 2010. The </w:t>
      </w:r>
      <w:r w:rsidR="00D14AB3" w:rsidRPr="009D5D84">
        <w:rPr>
          <w:rFonts w:ascii="Calibri" w:eastAsia="Times New Roman" w:hAnsi="Calibri" w:cs="Calibri"/>
          <w:lang w:val="en-US" w:eastAsia="en-GB"/>
        </w:rPr>
        <w:t xml:space="preserve">rate by which O’KEY’s net profit increased </w:t>
      </w:r>
      <w:r w:rsidRPr="009D5D84">
        <w:rPr>
          <w:rFonts w:ascii="Calibri" w:eastAsia="Times New Roman" w:hAnsi="Calibri" w:cs="Calibri"/>
          <w:lang w:val="en-US" w:eastAsia="en-GB"/>
        </w:rPr>
        <w:t xml:space="preserve">is greater than the </w:t>
      </w:r>
      <w:r w:rsidR="00D14AB3" w:rsidRPr="009D5D84">
        <w:rPr>
          <w:rFonts w:ascii="Calibri" w:eastAsia="Times New Roman" w:hAnsi="Calibri" w:cs="Calibri"/>
          <w:lang w:val="en-US" w:eastAsia="en-GB"/>
        </w:rPr>
        <w:t xml:space="preserve">rate its </w:t>
      </w:r>
      <w:r w:rsidRPr="009D5D84">
        <w:rPr>
          <w:rFonts w:ascii="Calibri" w:eastAsia="Times New Roman" w:hAnsi="Calibri" w:cs="Calibri"/>
          <w:lang w:val="en-US" w:eastAsia="en-GB"/>
        </w:rPr>
        <w:t xml:space="preserve">revenue and operating profit </w:t>
      </w:r>
      <w:proofErr w:type="gramStart"/>
      <w:r w:rsidRPr="009D5D84">
        <w:rPr>
          <w:rFonts w:ascii="Calibri" w:eastAsia="Times New Roman" w:hAnsi="Calibri" w:cs="Calibri"/>
          <w:lang w:val="en-US" w:eastAsia="en-GB"/>
        </w:rPr>
        <w:t>gr</w:t>
      </w:r>
      <w:r w:rsidR="00D14AB3" w:rsidRPr="009D5D84">
        <w:rPr>
          <w:rFonts w:ascii="Calibri" w:eastAsia="Times New Roman" w:hAnsi="Calibri" w:cs="Calibri"/>
          <w:lang w:val="en-US" w:eastAsia="en-GB"/>
        </w:rPr>
        <w:t>ew</w:t>
      </w:r>
      <w:r w:rsidRPr="009D5D84">
        <w:rPr>
          <w:rFonts w:ascii="Calibri" w:eastAsia="Times New Roman" w:hAnsi="Calibri" w:cs="Calibri"/>
          <w:lang w:val="en-US" w:eastAsia="en-GB"/>
        </w:rPr>
        <w:t>,</w:t>
      </w:r>
      <w:proofErr w:type="gramEnd"/>
      <w:r w:rsidRPr="009D5D84">
        <w:rPr>
          <w:rFonts w:ascii="Calibri" w:eastAsia="Times New Roman" w:hAnsi="Calibri" w:cs="Calibri"/>
          <w:lang w:val="en-US" w:eastAsia="en-GB"/>
        </w:rPr>
        <w:t xml:space="preserve"> </w:t>
      </w:r>
      <w:r w:rsidR="00D14AB3" w:rsidRPr="009D5D84">
        <w:rPr>
          <w:rFonts w:ascii="Calibri" w:eastAsia="Times New Roman" w:hAnsi="Calibri" w:cs="Calibri"/>
          <w:lang w:val="en-US" w:eastAsia="en-GB"/>
        </w:rPr>
        <w:t xml:space="preserve">this is mainly </w:t>
      </w:r>
      <w:r w:rsidRPr="009D5D84">
        <w:rPr>
          <w:rFonts w:ascii="Calibri" w:eastAsia="Times New Roman" w:hAnsi="Calibri" w:cs="Calibri"/>
          <w:lang w:val="en-US" w:eastAsia="en-GB"/>
        </w:rPr>
        <w:t>due to lower financing costs and income tax expenses.</w:t>
      </w:r>
    </w:p>
    <w:p w:rsidR="006D0B85" w:rsidRPr="002C7401" w:rsidRDefault="006D0B85" w:rsidP="00713777">
      <w:pPr>
        <w:keepNext/>
        <w:keepLines/>
        <w:tabs>
          <w:tab w:val="left" w:pos="-720"/>
          <w:tab w:val="left" w:pos="0"/>
          <w:tab w:val="left" w:pos="720"/>
          <w:tab w:val="left" w:pos="1440"/>
        </w:tabs>
        <w:suppressAutoHyphens/>
        <w:spacing w:after="240"/>
        <w:rPr>
          <w:rFonts w:ascii="Calibri" w:hAnsi="Calibri"/>
          <w:bCs/>
          <w:i/>
          <w:iCs/>
          <w:lang w:val="en-GB"/>
        </w:rPr>
      </w:pPr>
      <w:r w:rsidRPr="002C7401">
        <w:rPr>
          <w:rFonts w:ascii="Calibri" w:hAnsi="Calibri"/>
          <w:bCs/>
          <w:i/>
          <w:iCs/>
          <w:lang w:val="en-GB"/>
        </w:rPr>
        <w:t>Cash Flows and Working Capital</w:t>
      </w:r>
    </w:p>
    <w:tbl>
      <w:tblPr>
        <w:tblW w:w="3440" w:type="pct"/>
        <w:tblCellMar>
          <w:left w:w="72" w:type="dxa"/>
          <w:right w:w="72" w:type="dxa"/>
        </w:tblCellMar>
        <w:tblLook w:val="04A0" w:firstRow="1" w:lastRow="0" w:firstColumn="1" w:lastColumn="0" w:noHBand="0" w:noVBand="1"/>
      </w:tblPr>
      <w:tblGrid>
        <w:gridCol w:w="4227"/>
        <w:gridCol w:w="1412"/>
        <w:gridCol w:w="440"/>
        <w:gridCol w:w="651"/>
      </w:tblGrid>
      <w:tr w:rsidR="006D0B85" w:rsidTr="00713777">
        <w:trPr>
          <w:gridAfter w:val="3"/>
          <w:wAfter w:w="1860" w:type="pct"/>
          <w:cantSplit/>
        </w:trPr>
        <w:tc>
          <w:tcPr>
            <w:tcW w:w="3140" w:type="pct"/>
            <w:vAlign w:val="bottom"/>
          </w:tcPr>
          <w:p w:rsidR="006D0B85" w:rsidRDefault="006D0B85">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line="276" w:lineRule="auto"/>
              <w:rPr>
                <w:b/>
                <w:bCs/>
                <w:sz w:val="18"/>
                <w:szCs w:val="18"/>
              </w:rPr>
            </w:pPr>
          </w:p>
        </w:tc>
      </w:tr>
      <w:tr w:rsidR="006D0B85" w:rsidTr="00713777">
        <w:trPr>
          <w:cantSplit/>
        </w:trPr>
        <w:tc>
          <w:tcPr>
            <w:tcW w:w="3140" w:type="pct"/>
            <w:vAlign w:val="bottom"/>
            <w:hideMark/>
          </w:tcPr>
          <w:p w:rsidR="006D0B85" w:rsidRDefault="006D0B85" w:rsidP="00713777">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b/>
                <w:bCs/>
                <w:sz w:val="18"/>
                <w:szCs w:val="18"/>
              </w:rPr>
            </w:pPr>
            <w:r w:rsidRPr="00713777">
              <w:rPr>
                <w:rFonts w:ascii="Calibri" w:eastAsia="Times New Roman" w:hAnsi="Calibri" w:cs="Calibri"/>
                <w:b/>
                <w:bCs/>
                <w:sz w:val="20"/>
                <w:szCs w:val="20"/>
                <w:lang w:val="en-US" w:eastAsia="en-GB"/>
              </w:rPr>
              <w:t>(RUB millions)</w:t>
            </w:r>
          </w:p>
        </w:tc>
        <w:tc>
          <w:tcPr>
            <w:tcW w:w="1049" w:type="pct"/>
            <w:vAlign w:val="bottom"/>
            <w:hideMark/>
          </w:tcPr>
          <w:p w:rsidR="006D0B85" w:rsidRPr="00713777" w:rsidRDefault="006D0B85" w:rsidP="004C0E34">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spacing w:after="20"/>
              <w:rPr>
                <w:rFonts w:ascii="Calibri" w:eastAsia="Times New Roman" w:hAnsi="Calibri" w:cs="Calibri"/>
                <w:b/>
                <w:bCs/>
                <w:sz w:val="20"/>
                <w:szCs w:val="20"/>
                <w:lang w:val="en-US" w:eastAsia="en-GB"/>
              </w:rPr>
            </w:pPr>
            <w:r w:rsidRPr="00713777">
              <w:rPr>
                <w:rFonts w:ascii="Calibri" w:eastAsia="Times New Roman" w:hAnsi="Calibri" w:cs="Calibri"/>
                <w:b/>
                <w:bCs/>
                <w:sz w:val="20"/>
                <w:szCs w:val="20"/>
                <w:lang w:val="en-US" w:eastAsia="en-GB"/>
              </w:rPr>
              <w:t>2011</w:t>
            </w:r>
          </w:p>
        </w:tc>
        <w:tc>
          <w:tcPr>
            <w:tcW w:w="812" w:type="pct"/>
            <w:gridSpan w:val="2"/>
            <w:vAlign w:val="bottom"/>
            <w:hideMark/>
          </w:tcPr>
          <w:p w:rsidR="006D0B85" w:rsidRPr="00713777" w:rsidRDefault="006D0B85" w:rsidP="004C0E34">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 w:val="center" w:pos="4677"/>
                <w:tab w:val="right" w:pos="9355"/>
              </w:tabs>
              <w:suppressAutoHyphens/>
              <w:spacing w:after="20"/>
              <w:rPr>
                <w:rFonts w:ascii="Calibri" w:eastAsia="Times New Roman" w:hAnsi="Calibri" w:cs="Calibri"/>
                <w:b/>
                <w:bCs/>
                <w:sz w:val="20"/>
                <w:szCs w:val="20"/>
                <w:lang w:val="en-US" w:eastAsia="en-GB"/>
              </w:rPr>
            </w:pPr>
            <w:r w:rsidRPr="00713777">
              <w:rPr>
                <w:rFonts w:ascii="Calibri" w:eastAsia="Times New Roman" w:hAnsi="Calibri" w:cs="Calibri"/>
                <w:b/>
                <w:bCs/>
                <w:sz w:val="20"/>
                <w:szCs w:val="20"/>
                <w:lang w:val="en-US" w:eastAsia="en-GB"/>
              </w:rPr>
              <w:t>2010</w:t>
            </w:r>
          </w:p>
        </w:tc>
      </w:tr>
      <w:tr w:rsidR="006D0B85" w:rsidTr="00713777">
        <w:trPr>
          <w:gridAfter w:val="1"/>
          <w:wAfter w:w="484" w:type="pct"/>
          <w:cantSplit/>
        </w:trPr>
        <w:tc>
          <w:tcPr>
            <w:tcW w:w="3140" w:type="pct"/>
            <w:vAlign w:val="bottom"/>
          </w:tcPr>
          <w:p w:rsidR="006D0B85" w:rsidRDefault="006D0B85">
            <w:pPr>
              <w:tabs>
                <w:tab w:val="left" w:pos="0"/>
                <w:tab w:val="left" w:pos="216"/>
                <w:tab w:val="left" w:pos="432"/>
                <w:tab w:val="left" w:pos="648"/>
                <w:tab w:val="left" w:pos="864"/>
                <w:tab w:val="left" w:pos="1080"/>
                <w:tab w:val="left" w:pos="1296"/>
                <w:tab w:val="left" w:pos="1512"/>
                <w:tab w:val="left" w:pos="1728"/>
                <w:tab w:val="left" w:pos="1944"/>
              </w:tabs>
              <w:suppressAutoHyphens/>
              <w:spacing w:after="200" w:line="276" w:lineRule="auto"/>
              <w:rPr>
                <w:b/>
                <w:bCs/>
                <w:sz w:val="18"/>
                <w:szCs w:val="18"/>
              </w:rPr>
            </w:pPr>
          </w:p>
        </w:tc>
        <w:tc>
          <w:tcPr>
            <w:tcW w:w="1376" w:type="pct"/>
            <w:gridSpan w:val="2"/>
            <w:vAlign w:val="bottom"/>
          </w:tcPr>
          <w:p w:rsidR="006D0B85" w:rsidRDefault="006D0B85">
            <w:pPr>
              <w:tabs>
                <w:tab w:val="left" w:pos="0"/>
                <w:tab w:val="left" w:pos="216"/>
                <w:tab w:val="left" w:pos="432"/>
                <w:tab w:val="left" w:pos="648"/>
                <w:tab w:val="left" w:pos="864"/>
                <w:tab w:val="left" w:pos="1080"/>
                <w:tab w:val="left" w:pos="1296"/>
                <w:tab w:val="left" w:pos="1512"/>
                <w:tab w:val="left" w:pos="1728"/>
                <w:tab w:val="left" w:pos="1944"/>
              </w:tabs>
              <w:suppressAutoHyphens/>
              <w:spacing w:after="200" w:line="276" w:lineRule="auto"/>
              <w:jc w:val="center"/>
              <w:rPr>
                <w:b/>
                <w:bCs/>
                <w:sz w:val="18"/>
                <w:szCs w:val="18"/>
              </w:rPr>
            </w:pPr>
          </w:p>
        </w:tc>
      </w:tr>
      <w:tr w:rsidR="006D0B85" w:rsidTr="00713777">
        <w:trPr>
          <w:cantSplit/>
        </w:trPr>
        <w:tc>
          <w:tcPr>
            <w:tcW w:w="3140" w:type="pct"/>
            <w:hideMark/>
          </w:tcPr>
          <w:p w:rsidR="006D0B85" w:rsidRPr="006C6326" w:rsidRDefault="006D0B85" w:rsidP="00713777">
            <w:pPr>
              <w:tabs>
                <w:tab w:val="right" w:leader="dot" w:pos="4120"/>
              </w:tabs>
              <w:suppressAutoHyphens/>
              <w:ind w:left="200" w:hanging="200"/>
              <w:rPr>
                <w:sz w:val="22"/>
                <w:szCs w:val="22"/>
                <w:lang w:val="en-GB"/>
              </w:rPr>
            </w:pPr>
            <w:r w:rsidRPr="00713777">
              <w:rPr>
                <w:rFonts w:ascii="Calibri" w:eastAsia="Times New Roman" w:hAnsi="Calibri" w:cs="Calibri"/>
                <w:lang w:val="en-US" w:eastAsia="en-GB"/>
              </w:rPr>
              <w:t>Net cash from operating activities</w:t>
            </w:r>
          </w:p>
        </w:tc>
        <w:tc>
          <w:tcPr>
            <w:tcW w:w="1049" w:type="pct"/>
            <w:vAlign w:val="bottom"/>
            <w:hideMark/>
          </w:tcPr>
          <w:p w:rsidR="006D0B85" w:rsidRPr="00713777" w:rsidRDefault="006D0B85" w:rsidP="0071377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713777">
              <w:rPr>
                <w:rFonts w:ascii="Calibri" w:eastAsia="Times New Roman" w:hAnsi="Calibri" w:cs="Calibri"/>
                <w:lang w:val="en-US" w:eastAsia="en-GB"/>
              </w:rPr>
              <w:t>6,400.9</w:t>
            </w:r>
          </w:p>
        </w:tc>
        <w:tc>
          <w:tcPr>
            <w:tcW w:w="812" w:type="pct"/>
            <w:gridSpan w:val="2"/>
            <w:vAlign w:val="bottom"/>
            <w:hideMark/>
          </w:tcPr>
          <w:p w:rsidR="006D0B85" w:rsidRPr="00713777" w:rsidRDefault="006D0B85" w:rsidP="0071377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713777">
              <w:rPr>
                <w:rFonts w:ascii="Calibri" w:eastAsia="Times New Roman" w:hAnsi="Calibri" w:cs="Calibri"/>
                <w:lang w:val="en-US" w:eastAsia="en-GB"/>
              </w:rPr>
              <w:t>5,110.9</w:t>
            </w:r>
          </w:p>
        </w:tc>
      </w:tr>
      <w:tr w:rsidR="006D0B85" w:rsidTr="00713777">
        <w:trPr>
          <w:cantSplit/>
        </w:trPr>
        <w:tc>
          <w:tcPr>
            <w:tcW w:w="3140" w:type="pct"/>
            <w:hideMark/>
          </w:tcPr>
          <w:p w:rsidR="006D0B85" w:rsidRPr="006C6326" w:rsidRDefault="006D0B85" w:rsidP="00713777">
            <w:pPr>
              <w:tabs>
                <w:tab w:val="right" w:leader="dot" w:pos="4120"/>
              </w:tabs>
              <w:suppressAutoHyphens/>
              <w:ind w:left="200" w:hanging="200"/>
              <w:rPr>
                <w:sz w:val="22"/>
                <w:szCs w:val="22"/>
                <w:lang w:val="en-GB"/>
              </w:rPr>
            </w:pPr>
            <w:r w:rsidRPr="00713777">
              <w:rPr>
                <w:rFonts w:ascii="Calibri" w:eastAsia="Times New Roman" w:hAnsi="Calibri" w:cs="Calibri"/>
                <w:lang w:val="en-US" w:eastAsia="en-GB"/>
              </w:rPr>
              <w:t>Net cash used in investing activities</w:t>
            </w:r>
          </w:p>
        </w:tc>
        <w:tc>
          <w:tcPr>
            <w:tcW w:w="1049" w:type="pct"/>
            <w:vAlign w:val="bottom"/>
            <w:hideMark/>
          </w:tcPr>
          <w:p w:rsidR="006D0B85" w:rsidRPr="00713777" w:rsidRDefault="006D0B85" w:rsidP="0071377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713777">
              <w:rPr>
                <w:rFonts w:ascii="Calibri" w:eastAsia="Times New Roman" w:hAnsi="Calibri" w:cs="Calibri"/>
                <w:lang w:val="en-US" w:eastAsia="en-GB"/>
              </w:rPr>
              <w:t>(8,692.5)</w:t>
            </w:r>
          </w:p>
        </w:tc>
        <w:tc>
          <w:tcPr>
            <w:tcW w:w="812" w:type="pct"/>
            <w:gridSpan w:val="2"/>
            <w:vAlign w:val="bottom"/>
            <w:hideMark/>
          </w:tcPr>
          <w:p w:rsidR="006D0B85" w:rsidRPr="00713777" w:rsidRDefault="006D0B85" w:rsidP="0071377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713777">
              <w:rPr>
                <w:rFonts w:ascii="Calibri" w:eastAsia="Times New Roman" w:hAnsi="Calibri" w:cs="Calibri"/>
                <w:lang w:val="en-US" w:eastAsia="en-GB"/>
              </w:rPr>
              <w:t>(3,393.2)</w:t>
            </w:r>
          </w:p>
        </w:tc>
      </w:tr>
      <w:tr w:rsidR="006D0B85" w:rsidTr="00713777">
        <w:trPr>
          <w:cantSplit/>
          <w:trHeight w:val="277"/>
        </w:trPr>
        <w:tc>
          <w:tcPr>
            <w:tcW w:w="3140" w:type="pct"/>
            <w:hideMark/>
          </w:tcPr>
          <w:p w:rsidR="006D0B85" w:rsidRPr="006C6326" w:rsidRDefault="006D0B85" w:rsidP="00713777">
            <w:pPr>
              <w:tabs>
                <w:tab w:val="right" w:leader="dot" w:pos="4120"/>
              </w:tabs>
              <w:suppressAutoHyphens/>
              <w:ind w:left="200" w:hanging="200"/>
              <w:rPr>
                <w:sz w:val="22"/>
                <w:szCs w:val="22"/>
                <w:lang w:val="en-GB"/>
              </w:rPr>
            </w:pPr>
            <w:r w:rsidRPr="00713777">
              <w:rPr>
                <w:rFonts w:ascii="Calibri" w:eastAsia="Times New Roman" w:hAnsi="Calibri" w:cs="Calibri"/>
                <w:lang w:val="en-US" w:eastAsia="en-GB"/>
              </w:rPr>
              <w:t>Net cash used in financing activities</w:t>
            </w:r>
          </w:p>
        </w:tc>
        <w:tc>
          <w:tcPr>
            <w:tcW w:w="1049" w:type="pct"/>
            <w:vAlign w:val="bottom"/>
            <w:hideMark/>
          </w:tcPr>
          <w:p w:rsidR="006D0B85" w:rsidRPr="00713777" w:rsidRDefault="006D0B85" w:rsidP="0071377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713777">
              <w:rPr>
                <w:rFonts w:ascii="Calibri" w:eastAsia="Times New Roman" w:hAnsi="Calibri" w:cs="Calibri"/>
                <w:lang w:val="en-US" w:eastAsia="en-GB"/>
              </w:rPr>
              <w:t>(449.3)</w:t>
            </w:r>
          </w:p>
        </w:tc>
        <w:tc>
          <w:tcPr>
            <w:tcW w:w="812" w:type="pct"/>
            <w:gridSpan w:val="2"/>
            <w:vAlign w:val="bottom"/>
            <w:hideMark/>
          </w:tcPr>
          <w:p w:rsidR="006D0B85" w:rsidRPr="00713777" w:rsidRDefault="006D0B85" w:rsidP="0071377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713777">
              <w:rPr>
                <w:rFonts w:ascii="Calibri" w:eastAsia="Times New Roman" w:hAnsi="Calibri" w:cs="Calibri"/>
                <w:lang w:val="en-US" w:eastAsia="en-GB"/>
              </w:rPr>
              <w:t>2,404.2</w:t>
            </w:r>
          </w:p>
        </w:tc>
      </w:tr>
      <w:tr w:rsidR="006D0B85" w:rsidTr="00713777">
        <w:trPr>
          <w:cantSplit/>
          <w:trHeight w:val="693"/>
        </w:trPr>
        <w:tc>
          <w:tcPr>
            <w:tcW w:w="3140" w:type="pct"/>
            <w:hideMark/>
          </w:tcPr>
          <w:p w:rsidR="006D0B85" w:rsidRPr="006C6326" w:rsidRDefault="006D0B85">
            <w:pPr>
              <w:tabs>
                <w:tab w:val="right" w:leader="dot" w:pos="4120"/>
              </w:tabs>
              <w:suppressAutoHyphens/>
              <w:spacing w:after="200" w:line="276" w:lineRule="auto"/>
              <w:ind w:left="200" w:hanging="200"/>
              <w:rPr>
                <w:sz w:val="22"/>
                <w:szCs w:val="22"/>
                <w:lang w:val="en-GB"/>
              </w:rPr>
            </w:pPr>
            <w:r w:rsidRPr="00713777">
              <w:rPr>
                <w:rFonts w:ascii="Calibri" w:eastAsia="Times New Roman" w:hAnsi="Calibri" w:cs="Calibri"/>
                <w:lang w:val="en-US" w:eastAsia="en-GB"/>
              </w:rPr>
              <w:t>Net increase/(decrease) in cash and cash equivalents</w:t>
            </w:r>
          </w:p>
        </w:tc>
        <w:tc>
          <w:tcPr>
            <w:tcW w:w="1049" w:type="pct"/>
            <w:vAlign w:val="bottom"/>
            <w:hideMark/>
          </w:tcPr>
          <w:p w:rsidR="006D0B85" w:rsidRPr="00713777" w:rsidRDefault="006D0B85" w:rsidP="0071377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713777">
              <w:rPr>
                <w:rFonts w:ascii="Calibri" w:eastAsia="Times New Roman" w:hAnsi="Calibri" w:cs="Calibri"/>
                <w:lang w:val="en-US" w:eastAsia="en-GB"/>
              </w:rPr>
              <w:t>(2,740.9)</w:t>
            </w:r>
          </w:p>
        </w:tc>
        <w:tc>
          <w:tcPr>
            <w:tcW w:w="812" w:type="pct"/>
            <w:gridSpan w:val="2"/>
            <w:vAlign w:val="bottom"/>
            <w:hideMark/>
          </w:tcPr>
          <w:p w:rsidR="006D0B85" w:rsidRPr="00713777" w:rsidRDefault="006D0B85" w:rsidP="0071377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713777">
              <w:rPr>
                <w:rFonts w:ascii="Calibri" w:eastAsia="Times New Roman" w:hAnsi="Calibri" w:cs="Calibri"/>
                <w:lang w:val="en-US" w:eastAsia="en-GB"/>
              </w:rPr>
              <w:t>4,121.2</w:t>
            </w:r>
          </w:p>
        </w:tc>
      </w:tr>
      <w:tr w:rsidR="006D0B85" w:rsidTr="00713777">
        <w:trPr>
          <w:cantSplit/>
          <w:trHeight w:val="506"/>
        </w:trPr>
        <w:tc>
          <w:tcPr>
            <w:tcW w:w="3140" w:type="pct"/>
            <w:hideMark/>
          </w:tcPr>
          <w:p w:rsidR="006D0B85" w:rsidRPr="006C6326" w:rsidRDefault="006D0B85">
            <w:pPr>
              <w:tabs>
                <w:tab w:val="right" w:leader="dot" w:pos="4120"/>
              </w:tabs>
              <w:suppressAutoHyphens/>
              <w:spacing w:after="200" w:line="276" w:lineRule="auto"/>
              <w:ind w:left="200" w:hanging="200"/>
              <w:rPr>
                <w:sz w:val="22"/>
                <w:szCs w:val="22"/>
                <w:lang w:val="en-GB"/>
              </w:rPr>
            </w:pPr>
            <w:r w:rsidRPr="00713777">
              <w:rPr>
                <w:rFonts w:ascii="Calibri" w:eastAsia="Times New Roman" w:hAnsi="Calibri" w:cs="Calibri"/>
                <w:lang w:val="en-US" w:eastAsia="en-GB"/>
              </w:rPr>
              <w:t>Effect of exchange rate fluctuations on cash and cash equivalents</w:t>
            </w:r>
          </w:p>
        </w:tc>
        <w:tc>
          <w:tcPr>
            <w:tcW w:w="1049" w:type="pct"/>
            <w:vAlign w:val="bottom"/>
            <w:hideMark/>
          </w:tcPr>
          <w:p w:rsidR="006D0B85" w:rsidRPr="00713777" w:rsidRDefault="006D0B85" w:rsidP="0071377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713777">
              <w:rPr>
                <w:rFonts w:ascii="Calibri" w:eastAsia="Times New Roman" w:hAnsi="Calibri" w:cs="Calibri"/>
                <w:lang w:val="en-US" w:eastAsia="en-GB"/>
              </w:rPr>
              <w:t>(24.4)</w:t>
            </w:r>
          </w:p>
        </w:tc>
        <w:tc>
          <w:tcPr>
            <w:tcW w:w="812" w:type="pct"/>
            <w:gridSpan w:val="2"/>
            <w:vAlign w:val="bottom"/>
            <w:hideMark/>
          </w:tcPr>
          <w:p w:rsidR="006D0B85" w:rsidRPr="00713777" w:rsidRDefault="006D0B85" w:rsidP="00713777">
            <w:pPr>
              <w:tabs>
                <w:tab w:val="left" w:pos="0"/>
                <w:tab w:val="left" w:pos="216"/>
                <w:tab w:val="left" w:pos="432"/>
                <w:tab w:val="left" w:pos="648"/>
                <w:tab w:val="left" w:pos="864"/>
                <w:tab w:val="left" w:pos="1080"/>
                <w:tab w:val="left" w:pos="1296"/>
                <w:tab w:val="left" w:pos="1512"/>
                <w:tab w:val="left" w:pos="1728"/>
                <w:tab w:val="left" w:pos="1944"/>
              </w:tabs>
              <w:suppressAutoHyphens/>
              <w:rPr>
                <w:rFonts w:ascii="Calibri" w:eastAsia="Times New Roman" w:hAnsi="Calibri" w:cs="Calibri"/>
                <w:lang w:val="en-US" w:eastAsia="en-GB"/>
              </w:rPr>
            </w:pPr>
            <w:r w:rsidRPr="00713777">
              <w:rPr>
                <w:rFonts w:ascii="Calibri" w:eastAsia="Times New Roman" w:hAnsi="Calibri" w:cs="Calibri"/>
                <w:lang w:val="en-US" w:eastAsia="en-GB"/>
              </w:rPr>
              <w:t>122.9</w:t>
            </w:r>
          </w:p>
        </w:tc>
      </w:tr>
    </w:tbl>
    <w:p w:rsidR="006D0B85" w:rsidRPr="0043403F" w:rsidRDefault="004C0E34" w:rsidP="004C0E34">
      <w:pPr>
        <w:tabs>
          <w:tab w:val="left" w:pos="-720"/>
        </w:tabs>
        <w:suppressAutoHyphens/>
        <w:spacing w:after="240"/>
        <w:jc w:val="both"/>
        <w:rPr>
          <w:rFonts w:ascii="Calibri" w:hAnsi="Calibri"/>
          <w:lang w:val="en-GB"/>
        </w:rPr>
      </w:pPr>
      <w:r>
        <w:rPr>
          <w:rFonts w:ascii="Calibri" w:eastAsia="Times New Roman" w:hAnsi="Calibri" w:cs="Calibri"/>
          <w:lang w:val="en-US" w:eastAsia="en-GB"/>
        </w:rPr>
        <w:lastRenderedPageBreak/>
        <w:br/>
      </w:r>
      <w:r w:rsidR="006D0B85" w:rsidRPr="0043403F">
        <w:rPr>
          <w:rFonts w:ascii="Calibri" w:hAnsi="Calibri"/>
          <w:lang w:val="en-GB"/>
        </w:rPr>
        <w:t>Net cash</w:t>
      </w:r>
      <w:r w:rsidRPr="0043403F">
        <w:rPr>
          <w:rFonts w:ascii="Calibri" w:hAnsi="Calibri"/>
          <w:lang w:val="en-GB"/>
        </w:rPr>
        <w:t xml:space="preserve"> generated</w:t>
      </w:r>
      <w:r w:rsidR="006D0B85" w:rsidRPr="0043403F">
        <w:rPr>
          <w:rFonts w:ascii="Calibri" w:hAnsi="Calibri"/>
          <w:lang w:val="en-GB"/>
        </w:rPr>
        <w:t xml:space="preserve"> from operating activities </w:t>
      </w:r>
      <w:r w:rsidRPr="0043403F">
        <w:rPr>
          <w:rFonts w:ascii="Calibri" w:hAnsi="Calibri"/>
          <w:lang w:val="en-GB"/>
        </w:rPr>
        <w:t xml:space="preserve">increased significantly </w:t>
      </w:r>
      <w:r w:rsidR="00830E88" w:rsidRPr="0043403F">
        <w:rPr>
          <w:rFonts w:ascii="Calibri" w:hAnsi="Calibri"/>
          <w:lang w:val="en-GB"/>
        </w:rPr>
        <w:t>from</w:t>
      </w:r>
      <w:r w:rsidR="006D0B85" w:rsidRPr="0043403F">
        <w:rPr>
          <w:rFonts w:ascii="Calibri" w:hAnsi="Calibri"/>
          <w:lang w:val="en-GB"/>
        </w:rPr>
        <w:t xml:space="preserve"> </w:t>
      </w:r>
      <w:r w:rsidR="00830E88" w:rsidRPr="0043403F">
        <w:rPr>
          <w:rFonts w:ascii="Calibri" w:hAnsi="Calibri"/>
          <w:lang w:val="en-GB"/>
        </w:rPr>
        <w:t xml:space="preserve">RUB 5,110.9 million to </w:t>
      </w:r>
      <w:r w:rsidR="006D0B85" w:rsidRPr="0043403F">
        <w:rPr>
          <w:rFonts w:ascii="Calibri" w:hAnsi="Calibri"/>
          <w:lang w:val="en-GB"/>
        </w:rPr>
        <w:t xml:space="preserve">RUB 6,400.9 million </w:t>
      </w:r>
      <w:r w:rsidR="00830E88" w:rsidRPr="0043403F">
        <w:rPr>
          <w:rFonts w:ascii="Calibri" w:hAnsi="Calibri"/>
          <w:lang w:val="en-GB"/>
        </w:rPr>
        <w:t>in 2011</w:t>
      </w:r>
      <w:r w:rsidR="006D0B85" w:rsidRPr="0043403F">
        <w:rPr>
          <w:rFonts w:ascii="Calibri" w:hAnsi="Calibri"/>
          <w:lang w:val="en-GB"/>
        </w:rPr>
        <w:t xml:space="preserve">. </w:t>
      </w:r>
      <w:r w:rsidR="00830E88" w:rsidRPr="0043403F">
        <w:rPr>
          <w:rFonts w:ascii="Calibri" w:hAnsi="Calibri"/>
          <w:lang w:val="en-GB"/>
        </w:rPr>
        <w:t>Improvements in w</w:t>
      </w:r>
      <w:r w:rsidR="006D0B85" w:rsidRPr="0043403F">
        <w:rPr>
          <w:rFonts w:ascii="Calibri" w:hAnsi="Calibri"/>
          <w:lang w:val="en-GB"/>
        </w:rPr>
        <w:t>orking capital played a major role in increasing operating cash flow. Improvements in trade accounts payable and net trade and other receivables significantly exceeded the uptake in inventories. The increases in trade accounts payable and inventories were driven by the higher volumes of operations and the greater number of stores in operation. Improvements achieved in net trade and other receivables were due to reduced prepayments for current assets and improved collection time of supplier bonuses.</w:t>
      </w:r>
    </w:p>
    <w:p w:rsidR="006D0B85" w:rsidRPr="0043403F" w:rsidRDefault="006D0B85" w:rsidP="00F4432E">
      <w:pPr>
        <w:tabs>
          <w:tab w:val="left" w:pos="-720"/>
        </w:tabs>
        <w:suppressAutoHyphens/>
        <w:spacing w:after="240"/>
        <w:jc w:val="both"/>
        <w:rPr>
          <w:rFonts w:ascii="Calibri" w:hAnsi="Calibri"/>
          <w:lang w:val="en-GB"/>
        </w:rPr>
      </w:pPr>
      <w:r w:rsidRPr="0043403F">
        <w:rPr>
          <w:rFonts w:ascii="Calibri" w:hAnsi="Calibri"/>
          <w:lang w:val="en-GB"/>
        </w:rPr>
        <w:t xml:space="preserve">Cash used in investing activities </w:t>
      </w:r>
      <w:r w:rsidR="00F4432E" w:rsidRPr="0043403F">
        <w:rPr>
          <w:rFonts w:ascii="Calibri" w:hAnsi="Calibri"/>
          <w:lang w:val="en-GB"/>
        </w:rPr>
        <w:t xml:space="preserve">increased to RUB 8,692.5 million in 2011 and </w:t>
      </w:r>
      <w:r w:rsidRPr="0043403F">
        <w:rPr>
          <w:rFonts w:ascii="Calibri" w:hAnsi="Calibri"/>
          <w:lang w:val="en-GB"/>
        </w:rPr>
        <w:t>was principally used for purchases of property, plant and equipment. The major</w:t>
      </w:r>
      <w:r w:rsidR="00F4432E" w:rsidRPr="0043403F">
        <w:rPr>
          <w:rFonts w:ascii="Calibri" w:hAnsi="Calibri"/>
          <w:lang w:val="en-GB"/>
        </w:rPr>
        <w:t xml:space="preserve">ity of this outflow </w:t>
      </w:r>
      <w:r w:rsidRPr="0043403F">
        <w:rPr>
          <w:rFonts w:ascii="Calibri" w:hAnsi="Calibri"/>
          <w:lang w:val="en-GB"/>
        </w:rPr>
        <w:t>was spent on the completion of seven new hypermarkets, of w</w:t>
      </w:r>
      <w:r w:rsidR="00F4432E" w:rsidRPr="0043403F">
        <w:rPr>
          <w:rFonts w:ascii="Calibri" w:hAnsi="Calibri"/>
          <w:lang w:val="en-GB"/>
        </w:rPr>
        <w:t xml:space="preserve">hich two were constructed, and </w:t>
      </w:r>
      <w:r w:rsidRPr="0043403F">
        <w:rPr>
          <w:rFonts w:ascii="Calibri" w:hAnsi="Calibri"/>
          <w:lang w:val="en-GB"/>
        </w:rPr>
        <w:t xml:space="preserve">seven supermarkets, of which one was constructed. By the end of 2011 </w:t>
      </w:r>
      <w:r w:rsidR="00F4432E" w:rsidRPr="0043403F">
        <w:rPr>
          <w:rFonts w:ascii="Calibri" w:hAnsi="Calibri"/>
          <w:lang w:val="en-GB"/>
        </w:rPr>
        <w:t>some</w:t>
      </w:r>
      <w:r w:rsidRPr="0043403F">
        <w:rPr>
          <w:rFonts w:ascii="Calibri" w:hAnsi="Calibri"/>
          <w:lang w:val="en-GB"/>
        </w:rPr>
        <w:t xml:space="preserve"> large investments were classified as construction in progress</w:t>
      </w:r>
      <w:r w:rsidR="00F4432E" w:rsidRPr="0043403F">
        <w:rPr>
          <w:rFonts w:ascii="Calibri" w:hAnsi="Calibri"/>
          <w:lang w:val="en-GB"/>
        </w:rPr>
        <w:t>, these relate</w:t>
      </w:r>
      <w:r w:rsidRPr="0043403F">
        <w:rPr>
          <w:rFonts w:ascii="Calibri" w:hAnsi="Calibri"/>
          <w:lang w:val="en-GB"/>
        </w:rPr>
        <w:t xml:space="preserve"> to stores that were at different </w:t>
      </w:r>
      <w:r w:rsidR="00F4432E" w:rsidRPr="0043403F">
        <w:rPr>
          <w:rFonts w:ascii="Calibri" w:hAnsi="Calibri"/>
          <w:lang w:val="en-GB"/>
        </w:rPr>
        <w:t>stages</w:t>
      </w:r>
      <w:r w:rsidRPr="0043403F">
        <w:rPr>
          <w:rFonts w:ascii="Calibri" w:hAnsi="Calibri"/>
          <w:lang w:val="en-GB"/>
        </w:rPr>
        <w:t xml:space="preserve"> of completion, but </w:t>
      </w:r>
      <w:r w:rsidR="00F4432E" w:rsidRPr="0043403F">
        <w:rPr>
          <w:rFonts w:ascii="Calibri" w:hAnsi="Calibri"/>
          <w:lang w:val="en-GB"/>
        </w:rPr>
        <w:t xml:space="preserve">had </w:t>
      </w:r>
      <w:r w:rsidRPr="0043403F">
        <w:rPr>
          <w:rFonts w:ascii="Calibri" w:hAnsi="Calibri"/>
          <w:lang w:val="en-GB"/>
        </w:rPr>
        <w:t xml:space="preserve">not yet opened, at the end of the year. </w:t>
      </w:r>
    </w:p>
    <w:p w:rsidR="006D0B85" w:rsidRPr="0043403F" w:rsidRDefault="0009006D" w:rsidP="00F4432E">
      <w:pPr>
        <w:tabs>
          <w:tab w:val="left" w:pos="-720"/>
        </w:tabs>
        <w:suppressAutoHyphens/>
        <w:spacing w:after="240"/>
        <w:jc w:val="both"/>
        <w:rPr>
          <w:rFonts w:ascii="Calibri" w:hAnsi="Calibri"/>
          <w:lang w:val="en-GB"/>
        </w:rPr>
      </w:pPr>
      <w:r w:rsidRPr="0043403F">
        <w:rPr>
          <w:rFonts w:ascii="Calibri" w:hAnsi="Calibri"/>
          <w:lang w:val="en-GB"/>
        </w:rPr>
        <w:t>N</w:t>
      </w:r>
      <w:r w:rsidR="006D0B85" w:rsidRPr="0043403F">
        <w:rPr>
          <w:rFonts w:ascii="Calibri" w:hAnsi="Calibri"/>
          <w:lang w:val="en-GB"/>
        </w:rPr>
        <w:t xml:space="preserve">et cash used in financing activities </w:t>
      </w:r>
      <w:r w:rsidRPr="0043403F">
        <w:rPr>
          <w:rFonts w:ascii="Calibri" w:hAnsi="Calibri"/>
          <w:lang w:val="en-GB"/>
        </w:rPr>
        <w:t xml:space="preserve">amounted to </w:t>
      </w:r>
      <w:r w:rsidR="006D0B85" w:rsidRPr="0043403F">
        <w:rPr>
          <w:rFonts w:ascii="Calibri" w:hAnsi="Calibri"/>
          <w:lang w:val="en-GB"/>
        </w:rPr>
        <w:t xml:space="preserve">RUB 449.3 million </w:t>
      </w:r>
      <w:r w:rsidRPr="0043403F">
        <w:rPr>
          <w:rFonts w:ascii="Calibri" w:hAnsi="Calibri"/>
          <w:lang w:val="en-GB"/>
        </w:rPr>
        <w:t xml:space="preserve">following the </w:t>
      </w:r>
      <w:r w:rsidR="006D0B85" w:rsidRPr="0043403F">
        <w:rPr>
          <w:rFonts w:ascii="Calibri" w:hAnsi="Calibri"/>
          <w:lang w:val="en-GB"/>
        </w:rPr>
        <w:t>repayment of debts during the year and the payment of dividends. The Group used excess cash balances available at the beginning of the year to partially repay its current loans and borrowings.</w:t>
      </w:r>
    </w:p>
    <w:p w:rsidR="00055EB9" w:rsidRPr="0043403F" w:rsidRDefault="0009006D" w:rsidP="00055EB9">
      <w:pPr>
        <w:tabs>
          <w:tab w:val="left" w:pos="-720"/>
        </w:tabs>
        <w:suppressAutoHyphens/>
        <w:spacing w:after="240"/>
        <w:jc w:val="both"/>
        <w:rPr>
          <w:rFonts w:ascii="Calibri" w:hAnsi="Calibri"/>
          <w:lang w:val="en-GB"/>
        </w:rPr>
      </w:pPr>
      <w:proofErr w:type="spellStart"/>
      <w:r w:rsidRPr="0043403F">
        <w:rPr>
          <w:rFonts w:ascii="Calibri" w:hAnsi="Calibri"/>
          <w:bCs/>
          <w:iCs/>
          <w:lang w:val="en-GB"/>
        </w:rPr>
        <w:t>O’Key’s</w:t>
      </w:r>
      <w:proofErr w:type="spellEnd"/>
      <w:r w:rsidRPr="0043403F">
        <w:rPr>
          <w:rFonts w:ascii="Calibri" w:hAnsi="Calibri"/>
          <w:bCs/>
          <w:iCs/>
          <w:lang w:val="en-GB"/>
        </w:rPr>
        <w:t xml:space="preserve"> </w:t>
      </w:r>
      <w:r w:rsidR="006D0B85" w:rsidRPr="0043403F">
        <w:rPr>
          <w:rFonts w:ascii="Calibri" w:hAnsi="Calibri"/>
          <w:lang w:val="en-GB"/>
        </w:rPr>
        <w:t xml:space="preserve">primary </w:t>
      </w:r>
      <w:r w:rsidR="006C6326" w:rsidRPr="0043403F">
        <w:rPr>
          <w:rFonts w:ascii="Calibri" w:hAnsi="Calibri"/>
          <w:lang w:val="en-GB"/>
        </w:rPr>
        <w:t>sources of liquidity include</w:t>
      </w:r>
      <w:r w:rsidRPr="0043403F">
        <w:rPr>
          <w:rFonts w:ascii="Calibri" w:hAnsi="Calibri"/>
          <w:lang w:val="en-GB"/>
        </w:rPr>
        <w:t xml:space="preserve"> </w:t>
      </w:r>
      <w:r w:rsidR="006D0B85" w:rsidRPr="0043403F">
        <w:rPr>
          <w:rFonts w:ascii="Calibri" w:hAnsi="Calibri"/>
          <w:lang w:val="en-GB"/>
        </w:rPr>
        <w:t xml:space="preserve">cash derived from operating activities and debt financing. As of 31 December 2011, </w:t>
      </w:r>
      <w:proofErr w:type="spellStart"/>
      <w:r w:rsidRPr="0043403F">
        <w:rPr>
          <w:rFonts w:ascii="Calibri" w:hAnsi="Calibri"/>
          <w:lang w:val="en-GB"/>
        </w:rPr>
        <w:t>O’Key’s</w:t>
      </w:r>
      <w:proofErr w:type="spellEnd"/>
      <w:r w:rsidR="006D0B85" w:rsidRPr="0043403F">
        <w:rPr>
          <w:rFonts w:ascii="Calibri" w:hAnsi="Calibri"/>
          <w:lang w:val="en-GB"/>
        </w:rPr>
        <w:t xml:space="preserve"> working capital, defined as current assets (excluding cash and cash equivalents and short-term investments) less current liabilities (excluding short-term loans), was </w:t>
      </w:r>
      <w:r w:rsidR="00055EB9" w:rsidRPr="0043403F">
        <w:rPr>
          <w:rFonts w:ascii="Calibri" w:hAnsi="Calibri"/>
          <w:lang w:val="en-GB"/>
        </w:rPr>
        <w:t>a negative RUB</w:t>
      </w:r>
      <w:r w:rsidRPr="0043403F">
        <w:rPr>
          <w:rFonts w:ascii="Calibri" w:hAnsi="Calibri"/>
          <w:lang w:val="en-GB"/>
        </w:rPr>
        <w:t xml:space="preserve"> 5,508.5 million.</w:t>
      </w:r>
      <w:r w:rsidR="006D0B85" w:rsidRPr="0043403F">
        <w:rPr>
          <w:rFonts w:ascii="Calibri" w:hAnsi="Calibri"/>
          <w:lang w:val="en-GB"/>
        </w:rPr>
        <w:t xml:space="preserve"> </w:t>
      </w:r>
      <w:proofErr w:type="spellStart"/>
      <w:r w:rsidRPr="0043403F">
        <w:rPr>
          <w:rFonts w:ascii="Calibri" w:hAnsi="Calibri"/>
          <w:lang w:val="en-GB"/>
        </w:rPr>
        <w:t>O’Key</w:t>
      </w:r>
      <w:proofErr w:type="spellEnd"/>
      <w:r w:rsidRPr="0043403F">
        <w:rPr>
          <w:rFonts w:ascii="Calibri" w:hAnsi="Calibri"/>
          <w:lang w:val="en-GB"/>
        </w:rPr>
        <w:t xml:space="preserve"> believes that the nature of the food industry means that food retailers run negative w</w:t>
      </w:r>
      <w:r w:rsidR="006D0B85" w:rsidRPr="0043403F">
        <w:rPr>
          <w:rFonts w:ascii="Calibri" w:hAnsi="Calibri"/>
          <w:lang w:val="en-GB"/>
        </w:rPr>
        <w:t xml:space="preserve">orking capital figures, and </w:t>
      </w:r>
      <w:proofErr w:type="spellStart"/>
      <w:r w:rsidRPr="0043403F">
        <w:rPr>
          <w:rFonts w:ascii="Calibri" w:hAnsi="Calibri"/>
          <w:lang w:val="en-GB"/>
        </w:rPr>
        <w:t>O’Key</w:t>
      </w:r>
      <w:proofErr w:type="spellEnd"/>
      <w:r w:rsidRPr="0043403F">
        <w:rPr>
          <w:rFonts w:ascii="Calibri" w:hAnsi="Calibri"/>
          <w:lang w:val="en-GB"/>
        </w:rPr>
        <w:t xml:space="preserve"> </w:t>
      </w:r>
      <w:r w:rsidR="006D0B85" w:rsidRPr="0043403F">
        <w:rPr>
          <w:rFonts w:ascii="Calibri" w:hAnsi="Calibri"/>
          <w:lang w:val="en-GB"/>
        </w:rPr>
        <w:t>intend</w:t>
      </w:r>
      <w:r w:rsidRPr="0043403F">
        <w:rPr>
          <w:rFonts w:ascii="Calibri" w:hAnsi="Calibri"/>
          <w:lang w:val="en-GB"/>
        </w:rPr>
        <w:t>s</w:t>
      </w:r>
      <w:r w:rsidR="006D0B85" w:rsidRPr="0043403F">
        <w:rPr>
          <w:rFonts w:ascii="Calibri" w:hAnsi="Calibri"/>
          <w:lang w:val="en-GB"/>
        </w:rPr>
        <w:t xml:space="preserve"> to maintain a negative working capital position.</w:t>
      </w:r>
    </w:p>
    <w:tbl>
      <w:tblPr>
        <w:tblW w:w="4988" w:type="dxa"/>
        <w:tblInd w:w="108" w:type="dxa"/>
        <w:tblLook w:val="04A0" w:firstRow="1" w:lastRow="0" w:firstColumn="1" w:lastColumn="0" w:noHBand="0" w:noVBand="1"/>
      </w:tblPr>
      <w:tblGrid>
        <w:gridCol w:w="2116"/>
        <w:gridCol w:w="1436"/>
        <w:gridCol w:w="1436"/>
      </w:tblGrid>
      <w:tr w:rsidR="00F0062B" w:rsidRPr="0043403F" w:rsidTr="00F0062B">
        <w:trPr>
          <w:trHeight w:val="360"/>
        </w:trPr>
        <w:tc>
          <w:tcPr>
            <w:tcW w:w="2116" w:type="dxa"/>
            <w:shd w:val="clear" w:color="auto" w:fill="auto"/>
            <w:noWrap/>
            <w:vAlign w:val="center"/>
            <w:hideMark/>
          </w:tcPr>
          <w:p w:rsidR="00F0062B" w:rsidRPr="0043403F" w:rsidRDefault="00F0062B" w:rsidP="0009006D">
            <w:pPr>
              <w:rPr>
                <w:rFonts w:ascii="Calibri" w:eastAsia="Times New Roman" w:hAnsi="Calibri" w:cs="Calibri"/>
                <w:b/>
                <w:bCs/>
                <w:color w:val="000000"/>
                <w:sz w:val="20"/>
                <w:szCs w:val="20"/>
                <w:lang w:val="en-US" w:eastAsia="en-US"/>
              </w:rPr>
            </w:pPr>
            <w:r w:rsidRPr="0043403F">
              <w:rPr>
                <w:rFonts w:ascii="Calibri" w:eastAsia="Times New Roman" w:hAnsi="Calibri" w:cs="Calibri"/>
                <w:b/>
                <w:bCs/>
                <w:color w:val="000000"/>
                <w:sz w:val="20"/>
                <w:szCs w:val="20"/>
                <w:lang w:val="en-US" w:eastAsia="en-US"/>
              </w:rPr>
              <w:br/>
              <w:t>(RUB millions)</w:t>
            </w:r>
          </w:p>
        </w:tc>
        <w:tc>
          <w:tcPr>
            <w:tcW w:w="1436" w:type="dxa"/>
            <w:vAlign w:val="center"/>
          </w:tcPr>
          <w:p w:rsidR="00F0062B" w:rsidRPr="0043403F" w:rsidRDefault="00F0062B" w:rsidP="004F77D2">
            <w:pPr>
              <w:jc w:val="center"/>
              <w:rPr>
                <w:rFonts w:ascii="Calibri" w:eastAsia="Times New Roman" w:hAnsi="Calibri" w:cs="Calibri"/>
                <w:b/>
                <w:bCs/>
                <w:color w:val="000000"/>
                <w:sz w:val="20"/>
                <w:szCs w:val="20"/>
                <w:lang w:val="en-US" w:eastAsia="en-US"/>
              </w:rPr>
            </w:pPr>
            <w:r w:rsidRPr="0043403F">
              <w:rPr>
                <w:rFonts w:ascii="Calibri" w:eastAsia="Times New Roman" w:hAnsi="Calibri" w:cs="Calibri"/>
                <w:b/>
                <w:bCs/>
                <w:color w:val="000000"/>
                <w:sz w:val="20"/>
                <w:szCs w:val="20"/>
                <w:lang w:val="en-US" w:eastAsia="en-US"/>
              </w:rPr>
              <w:t>2011</w:t>
            </w:r>
          </w:p>
        </w:tc>
        <w:tc>
          <w:tcPr>
            <w:tcW w:w="1436" w:type="dxa"/>
            <w:shd w:val="clear" w:color="auto" w:fill="auto"/>
            <w:noWrap/>
            <w:vAlign w:val="center"/>
            <w:hideMark/>
          </w:tcPr>
          <w:p w:rsidR="00F0062B" w:rsidRPr="0043403F" w:rsidRDefault="00F0062B" w:rsidP="0009006D">
            <w:pPr>
              <w:jc w:val="center"/>
              <w:rPr>
                <w:rFonts w:ascii="Calibri" w:eastAsia="Times New Roman" w:hAnsi="Calibri" w:cs="Calibri"/>
                <w:b/>
                <w:bCs/>
                <w:color w:val="000000"/>
                <w:sz w:val="20"/>
                <w:szCs w:val="20"/>
                <w:lang w:val="en-US" w:eastAsia="en-US"/>
              </w:rPr>
            </w:pPr>
            <w:r w:rsidRPr="0043403F">
              <w:rPr>
                <w:rFonts w:ascii="Calibri" w:eastAsia="Times New Roman" w:hAnsi="Calibri" w:cs="Calibri"/>
                <w:b/>
                <w:bCs/>
                <w:color w:val="000000"/>
                <w:sz w:val="20"/>
                <w:szCs w:val="20"/>
                <w:lang w:val="en-US" w:eastAsia="en-US"/>
              </w:rPr>
              <w:t>2010</w:t>
            </w:r>
          </w:p>
        </w:tc>
      </w:tr>
      <w:tr w:rsidR="00F0062B" w:rsidRPr="0043403F" w:rsidTr="00F0062B">
        <w:trPr>
          <w:trHeight w:val="255"/>
        </w:trPr>
        <w:tc>
          <w:tcPr>
            <w:tcW w:w="2116" w:type="dxa"/>
            <w:shd w:val="clear" w:color="auto" w:fill="auto"/>
            <w:noWrap/>
            <w:vAlign w:val="bottom"/>
            <w:hideMark/>
          </w:tcPr>
          <w:p w:rsidR="00F0062B" w:rsidRPr="0043403F" w:rsidRDefault="00F0062B" w:rsidP="0009006D">
            <w:pP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Total Debt</w:t>
            </w:r>
          </w:p>
        </w:tc>
        <w:tc>
          <w:tcPr>
            <w:tcW w:w="1436" w:type="dxa"/>
            <w:vAlign w:val="bottom"/>
          </w:tcPr>
          <w:p w:rsidR="00F0062B" w:rsidRPr="0043403F" w:rsidRDefault="00F0062B" w:rsidP="004F77D2">
            <w:pPr>
              <w:jc w:val="cente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12,071</w:t>
            </w:r>
          </w:p>
        </w:tc>
        <w:tc>
          <w:tcPr>
            <w:tcW w:w="1436" w:type="dxa"/>
            <w:shd w:val="clear" w:color="auto" w:fill="auto"/>
            <w:noWrap/>
            <w:vAlign w:val="bottom"/>
            <w:hideMark/>
          </w:tcPr>
          <w:p w:rsidR="00F0062B" w:rsidRPr="0043403F" w:rsidRDefault="00F0062B" w:rsidP="00055EB9">
            <w:pPr>
              <w:jc w:val="cente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11,572</w:t>
            </w:r>
          </w:p>
        </w:tc>
      </w:tr>
      <w:tr w:rsidR="00F0062B" w:rsidRPr="0043403F" w:rsidTr="00F0062B">
        <w:trPr>
          <w:trHeight w:val="255"/>
        </w:trPr>
        <w:tc>
          <w:tcPr>
            <w:tcW w:w="2116" w:type="dxa"/>
            <w:shd w:val="clear" w:color="auto" w:fill="auto"/>
            <w:noWrap/>
            <w:vAlign w:val="bottom"/>
            <w:hideMark/>
          </w:tcPr>
          <w:p w:rsidR="00F0062B" w:rsidRPr="0043403F" w:rsidRDefault="00F0062B" w:rsidP="0009006D">
            <w:pP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Short-Term Debt</w:t>
            </w:r>
          </w:p>
        </w:tc>
        <w:tc>
          <w:tcPr>
            <w:tcW w:w="1436" w:type="dxa"/>
            <w:vAlign w:val="bottom"/>
          </w:tcPr>
          <w:p w:rsidR="00F0062B" w:rsidRPr="0043403F" w:rsidRDefault="00F0062B" w:rsidP="004F77D2">
            <w:pPr>
              <w:jc w:val="cente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5,303</w:t>
            </w:r>
          </w:p>
        </w:tc>
        <w:tc>
          <w:tcPr>
            <w:tcW w:w="1436" w:type="dxa"/>
            <w:shd w:val="clear" w:color="auto" w:fill="auto"/>
            <w:noWrap/>
            <w:vAlign w:val="bottom"/>
            <w:hideMark/>
          </w:tcPr>
          <w:p w:rsidR="00F0062B" w:rsidRPr="0043403F" w:rsidRDefault="00F0062B" w:rsidP="00055EB9">
            <w:pPr>
              <w:jc w:val="cente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3,702</w:t>
            </w:r>
          </w:p>
        </w:tc>
      </w:tr>
      <w:tr w:rsidR="00F0062B" w:rsidRPr="0043403F" w:rsidTr="00F0062B">
        <w:trPr>
          <w:trHeight w:val="255"/>
        </w:trPr>
        <w:tc>
          <w:tcPr>
            <w:tcW w:w="2116" w:type="dxa"/>
            <w:shd w:val="clear" w:color="auto" w:fill="auto"/>
            <w:noWrap/>
            <w:vAlign w:val="bottom"/>
            <w:hideMark/>
          </w:tcPr>
          <w:p w:rsidR="00F0062B" w:rsidRPr="0043403F" w:rsidRDefault="00F0062B" w:rsidP="0009006D">
            <w:pP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Long-Term Debt</w:t>
            </w:r>
          </w:p>
        </w:tc>
        <w:tc>
          <w:tcPr>
            <w:tcW w:w="1436" w:type="dxa"/>
            <w:vAlign w:val="bottom"/>
          </w:tcPr>
          <w:p w:rsidR="00F0062B" w:rsidRPr="0043403F" w:rsidRDefault="00F0062B" w:rsidP="004F77D2">
            <w:pPr>
              <w:jc w:val="cente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6,768</w:t>
            </w:r>
          </w:p>
        </w:tc>
        <w:tc>
          <w:tcPr>
            <w:tcW w:w="1436" w:type="dxa"/>
            <w:shd w:val="clear" w:color="auto" w:fill="auto"/>
            <w:noWrap/>
            <w:vAlign w:val="bottom"/>
            <w:hideMark/>
          </w:tcPr>
          <w:p w:rsidR="00F0062B" w:rsidRPr="0043403F" w:rsidRDefault="00F0062B" w:rsidP="00055EB9">
            <w:pPr>
              <w:jc w:val="cente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7,869</w:t>
            </w:r>
          </w:p>
        </w:tc>
      </w:tr>
      <w:tr w:rsidR="00F0062B" w:rsidRPr="0043403F" w:rsidTr="00F0062B">
        <w:trPr>
          <w:trHeight w:val="120"/>
        </w:trPr>
        <w:tc>
          <w:tcPr>
            <w:tcW w:w="2116" w:type="dxa"/>
            <w:shd w:val="clear" w:color="auto" w:fill="auto"/>
            <w:noWrap/>
            <w:vAlign w:val="bottom"/>
            <w:hideMark/>
          </w:tcPr>
          <w:p w:rsidR="00F0062B" w:rsidRPr="0043403F" w:rsidRDefault="00F0062B" w:rsidP="0009006D">
            <w:pPr>
              <w:rPr>
                <w:rFonts w:ascii="Calibri" w:eastAsia="Times New Roman" w:hAnsi="Calibri" w:cs="Calibri"/>
                <w:color w:val="000000"/>
                <w:lang w:val="en-US" w:eastAsia="en-US"/>
              </w:rPr>
            </w:pPr>
          </w:p>
        </w:tc>
        <w:tc>
          <w:tcPr>
            <w:tcW w:w="1436" w:type="dxa"/>
            <w:vAlign w:val="bottom"/>
          </w:tcPr>
          <w:p w:rsidR="00F0062B" w:rsidRPr="0043403F" w:rsidRDefault="00F0062B" w:rsidP="004F77D2">
            <w:pPr>
              <w:jc w:val="center"/>
              <w:rPr>
                <w:rFonts w:ascii="Calibri" w:eastAsia="Times New Roman" w:hAnsi="Calibri" w:cs="Calibri"/>
                <w:color w:val="000000"/>
                <w:lang w:val="en-US" w:eastAsia="en-US"/>
              </w:rPr>
            </w:pPr>
          </w:p>
        </w:tc>
        <w:tc>
          <w:tcPr>
            <w:tcW w:w="1436" w:type="dxa"/>
            <w:shd w:val="clear" w:color="auto" w:fill="auto"/>
            <w:noWrap/>
            <w:vAlign w:val="bottom"/>
            <w:hideMark/>
          </w:tcPr>
          <w:p w:rsidR="00F0062B" w:rsidRPr="0043403F" w:rsidRDefault="00F0062B" w:rsidP="00055EB9">
            <w:pPr>
              <w:jc w:val="center"/>
              <w:rPr>
                <w:rFonts w:ascii="Calibri" w:eastAsia="Times New Roman" w:hAnsi="Calibri" w:cs="Calibri"/>
                <w:color w:val="000000"/>
                <w:lang w:val="en-US" w:eastAsia="en-US"/>
              </w:rPr>
            </w:pPr>
          </w:p>
        </w:tc>
      </w:tr>
      <w:tr w:rsidR="00F0062B" w:rsidRPr="0043403F" w:rsidTr="00F0062B">
        <w:trPr>
          <w:trHeight w:val="255"/>
        </w:trPr>
        <w:tc>
          <w:tcPr>
            <w:tcW w:w="2116" w:type="dxa"/>
            <w:shd w:val="clear" w:color="auto" w:fill="auto"/>
            <w:noWrap/>
            <w:vAlign w:val="bottom"/>
            <w:hideMark/>
          </w:tcPr>
          <w:p w:rsidR="00F0062B" w:rsidRPr="0043403F" w:rsidRDefault="00F0062B" w:rsidP="0009006D">
            <w:pP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Net Debt</w:t>
            </w:r>
          </w:p>
        </w:tc>
        <w:tc>
          <w:tcPr>
            <w:tcW w:w="1436" w:type="dxa"/>
            <w:vAlign w:val="bottom"/>
          </w:tcPr>
          <w:p w:rsidR="00F0062B" w:rsidRPr="0043403F" w:rsidRDefault="00F0062B" w:rsidP="004F77D2">
            <w:pPr>
              <w:jc w:val="cente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9,129</w:t>
            </w:r>
          </w:p>
        </w:tc>
        <w:tc>
          <w:tcPr>
            <w:tcW w:w="1436" w:type="dxa"/>
            <w:shd w:val="clear" w:color="auto" w:fill="auto"/>
            <w:noWrap/>
            <w:vAlign w:val="bottom"/>
            <w:hideMark/>
          </w:tcPr>
          <w:p w:rsidR="00F0062B" w:rsidRPr="0043403F" w:rsidRDefault="00F0062B" w:rsidP="00055EB9">
            <w:pPr>
              <w:jc w:val="cente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5,864</w:t>
            </w:r>
          </w:p>
        </w:tc>
      </w:tr>
      <w:tr w:rsidR="00F0062B" w:rsidRPr="0043403F" w:rsidTr="00F0062B">
        <w:trPr>
          <w:trHeight w:val="120"/>
        </w:trPr>
        <w:tc>
          <w:tcPr>
            <w:tcW w:w="2116" w:type="dxa"/>
            <w:shd w:val="clear" w:color="auto" w:fill="auto"/>
            <w:noWrap/>
            <w:vAlign w:val="bottom"/>
            <w:hideMark/>
          </w:tcPr>
          <w:p w:rsidR="00F0062B" w:rsidRPr="0043403F" w:rsidRDefault="00F0062B" w:rsidP="0009006D">
            <w:pPr>
              <w:rPr>
                <w:rFonts w:ascii="Calibri" w:eastAsia="Times New Roman" w:hAnsi="Calibri" w:cs="Calibri"/>
                <w:color w:val="000000"/>
                <w:lang w:val="en-US" w:eastAsia="en-US"/>
              </w:rPr>
            </w:pPr>
          </w:p>
        </w:tc>
        <w:tc>
          <w:tcPr>
            <w:tcW w:w="1436" w:type="dxa"/>
            <w:vAlign w:val="bottom"/>
          </w:tcPr>
          <w:p w:rsidR="00F0062B" w:rsidRPr="0043403F" w:rsidRDefault="00F0062B" w:rsidP="004F77D2">
            <w:pPr>
              <w:jc w:val="center"/>
              <w:rPr>
                <w:rFonts w:ascii="Calibri" w:eastAsia="Times New Roman" w:hAnsi="Calibri" w:cs="Calibri"/>
                <w:color w:val="000000"/>
                <w:lang w:val="en-US" w:eastAsia="en-US"/>
              </w:rPr>
            </w:pPr>
          </w:p>
        </w:tc>
        <w:tc>
          <w:tcPr>
            <w:tcW w:w="1436" w:type="dxa"/>
            <w:shd w:val="clear" w:color="auto" w:fill="auto"/>
            <w:noWrap/>
            <w:vAlign w:val="bottom"/>
            <w:hideMark/>
          </w:tcPr>
          <w:p w:rsidR="00F0062B" w:rsidRPr="0043403F" w:rsidRDefault="00F0062B" w:rsidP="00055EB9">
            <w:pPr>
              <w:jc w:val="center"/>
              <w:rPr>
                <w:rFonts w:ascii="Calibri" w:eastAsia="Times New Roman" w:hAnsi="Calibri" w:cs="Calibri"/>
                <w:color w:val="000000"/>
                <w:lang w:val="en-US" w:eastAsia="en-US"/>
              </w:rPr>
            </w:pPr>
          </w:p>
        </w:tc>
      </w:tr>
      <w:tr w:rsidR="00F0062B" w:rsidRPr="0043403F" w:rsidTr="00F0062B">
        <w:trPr>
          <w:trHeight w:val="255"/>
        </w:trPr>
        <w:tc>
          <w:tcPr>
            <w:tcW w:w="2116" w:type="dxa"/>
            <w:shd w:val="clear" w:color="auto" w:fill="auto"/>
            <w:noWrap/>
            <w:vAlign w:val="bottom"/>
            <w:hideMark/>
          </w:tcPr>
          <w:p w:rsidR="00F0062B" w:rsidRPr="0043403F" w:rsidRDefault="00F0062B" w:rsidP="0009006D">
            <w:pP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Net Debt / EBITDA</w:t>
            </w:r>
          </w:p>
        </w:tc>
        <w:tc>
          <w:tcPr>
            <w:tcW w:w="1436" w:type="dxa"/>
            <w:vAlign w:val="bottom"/>
          </w:tcPr>
          <w:p w:rsidR="00F0062B" w:rsidRPr="0043403F" w:rsidRDefault="00F0062B" w:rsidP="004F77D2">
            <w:pPr>
              <w:jc w:val="cente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1.2</w:t>
            </w:r>
          </w:p>
        </w:tc>
        <w:tc>
          <w:tcPr>
            <w:tcW w:w="1436" w:type="dxa"/>
            <w:shd w:val="clear" w:color="auto" w:fill="auto"/>
            <w:noWrap/>
            <w:vAlign w:val="bottom"/>
            <w:hideMark/>
          </w:tcPr>
          <w:p w:rsidR="00F0062B" w:rsidRPr="0043403F" w:rsidRDefault="00F0062B" w:rsidP="00055EB9">
            <w:pPr>
              <w:jc w:val="center"/>
              <w:rPr>
                <w:rFonts w:ascii="Calibri" w:eastAsia="Times New Roman" w:hAnsi="Calibri" w:cs="Calibri"/>
                <w:color w:val="000000"/>
                <w:lang w:val="en-US" w:eastAsia="en-US"/>
              </w:rPr>
            </w:pPr>
            <w:r w:rsidRPr="0043403F">
              <w:rPr>
                <w:rFonts w:ascii="Calibri" w:eastAsia="Times New Roman" w:hAnsi="Calibri" w:cs="Calibri"/>
                <w:color w:val="000000"/>
                <w:lang w:val="en-US" w:eastAsia="en-US"/>
              </w:rPr>
              <w:t>0.8</w:t>
            </w:r>
          </w:p>
        </w:tc>
      </w:tr>
    </w:tbl>
    <w:p w:rsidR="00700B18" w:rsidRPr="0043403F" w:rsidRDefault="00055EB9" w:rsidP="00055EB9">
      <w:pPr>
        <w:tabs>
          <w:tab w:val="left" w:pos="-720"/>
        </w:tabs>
        <w:suppressAutoHyphens/>
        <w:spacing w:after="240"/>
        <w:jc w:val="both"/>
        <w:rPr>
          <w:rFonts w:ascii="Calibri" w:hAnsi="Calibri"/>
          <w:lang w:val="en-GB"/>
        </w:rPr>
      </w:pPr>
      <w:r w:rsidRPr="0043403F">
        <w:rPr>
          <w:rFonts w:ascii="Calibri" w:hAnsi="Calibri"/>
          <w:lang w:val="en-GB"/>
        </w:rPr>
        <w:br/>
      </w:r>
      <w:proofErr w:type="spellStart"/>
      <w:r w:rsidRPr="0043403F">
        <w:rPr>
          <w:rFonts w:ascii="Calibri" w:hAnsi="Calibri"/>
          <w:lang w:val="en-GB"/>
        </w:rPr>
        <w:t>O’Key</w:t>
      </w:r>
      <w:proofErr w:type="spellEnd"/>
      <w:r w:rsidRPr="0043403F">
        <w:rPr>
          <w:rFonts w:ascii="Calibri" w:hAnsi="Calibri"/>
          <w:lang w:val="en-GB"/>
        </w:rPr>
        <w:t xml:space="preserve"> </w:t>
      </w:r>
      <w:r w:rsidR="0009006D" w:rsidRPr="0043403F">
        <w:rPr>
          <w:rFonts w:ascii="Calibri" w:hAnsi="Calibri"/>
          <w:lang w:val="en-GB"/>
        </w:rPr>
        <w:t>consider</w:t>
      </w:r>
      <w:r w:rsidRPr="0043403F">
        <w:rPr>
          <w:rFonts w:ascii="Calibri" w:hAnsi="Calibri"/>
          <w:lang w:val="en-GB"/>
        </w:rPr>
        <w:t>s</w:t>
      </w:r>
      <w:r w:rsidR="0009006D" w:rsidRPr="0043403F">
        <w:rPr>
          <w:rFonts w:ascii="Calibri" w:hAnsi="Calibri"/>
          <w:lang w:val="en-GB"/>
        </w:rPr>
        <w:t xml:space="preserve"> </w:t>
      </w:r>
      <w:r w:rsidRPr="0043403F">
        <w:rPr>
          <w:rFonts w:ascii="Calibri" w:hAnsi="Calibri"/>
          <w:lang w:val="en-GB"/>
        </w:rPr>
        <w:t xml:space="preserve">the </w:t>
      </w:r>
      <w:r w:rsidR="0009006D" w:rsidRPr="0043403F">
        <w:rPr>
          <w:rFonts w:ascii="Calibri" w:hAnsi="Calibri"/>
          <w:lang w:val="en-GB"/>
        </w:rPr>
        <w:t xml:space="preserve">net debt to EBITDA </w:t>
      </w:r>
      <w:r w:rsidRPr="0043403F">
        <w:rPr>
          <w:rFonts w:ascii="Calibri" w:hAnsi="Calibri"/>
          <w:lang w:val="en-GB"/>
        </w:rPr>
        <w:t xml:space="preserve">ratio </w:t>
      </w:r>
      <w:r w:rsidR="0009006D" w:rsidRPr="0043403F">
        <w:rPr>
          <w:rFonts w:ascii="Calibri" w:hAnsi="Calibri"/>
          <w:lang w:val="en-GB"/>
        </w:rPr>
        <w:t xml:space="preserve">as the principal </w:t>
      </w:r>
      <w:r w:rsidRPr="0043403F">
        <w:rPr>
          <w:rFonts w:ascii="Calibri" w:hAnsi="Calibri"/>
          <w:lang w:val="en-GB"/>
        </w:rPr>
        <w:t xml:space="preserve">indicator </w:t>
      </w:r>
      <w:r w:rsidR="006C6326">
        <w:rPr>
          <w:rFonts w:ascii="Calibri" w:hAnsi="Calibri"/>
          <w:lang w:val="en-GB"/>
        </w:rPr>
        <w:t xml:space="preserve">that </w:t>
      </w:r>
      <w:r w:rsidR="0009006D" w:rsidRPr="0043403F">
        <w:rPr>
          <w:rFonts w:ascii="Calibri" w:hAnsi="Calibri"/>
          <w:lang w:val="en-GB"/>
        </w:rPr>
        <w:t>evaluat</w:t>
      </w:r>
      <w:r w:rsidR="006C6326">
        <w:rPr>
          <w:rFonts w:ascii="Calibri" w:hAnsi="Calibri"/>
          <w:lang w:val="en-GB"/>
        </w:rPr>
        <w:t>es</w:t>
      </w:r>
      <w:r w:rsidR="0009006D" w:rsidRPr="0043403F">
        <w:rPr>
          <w:rFonts w:ascii="Calibri" w:hAnsi="Calibri"/>
          <w:lang w:val="en-GB"/>
        </w:rPr>
        <w:t xml:space="preserve"> the impact of the total size of </w:t>
      </w:r>
      <w:proofErr w:type="spellStart"/>
      <w:r w:rsidRPr="0043403F">
        <w:rPr>
          <w:rFonts w:ascii="Calibri" w:hAnsi="Calibri"/>
          <w:lang w:val="en-GB"/>
        </w:rPr>
        <w:t>O’Key’s</w:t>
      </w:r>
      <w:proofErr w:type="spellEnd"/>
      <w:r w:rsidRPr="0043403F">
        <w:rPr>
          <w:rFonts w:ascii="Calibri" w:hAnsi="Calibri"/>
          <w:lang w:val="en-GB"/>
        </w:rPr>
        <w:t xml:space="preserve"> </w:t>
      </w:r>
      <w:r w:rsidR="0009006D" w:rsidRPr="0043403F">
        <w:rPr>
          <w:rFonts w:ascii="Calibri" w:hAnsi="Calibri"/>
          <w:lang w:val="en-GB"/>
        </w:rPr>
        <w:t xml:space="preserve">borrowings on </w:t>
      </w:r>
      <w:r w:rsidRPr="0043403F">
        <w:rPr>
          <w:rFonts w:ascii="Calibri" w:hAnsi="Calibri"/>
          <w:lang w:val="en-GB"/>
        </w:rPr>
        <w:t>its</w:t>
      </w:r>
      <w:r w:rsidR="0009006D" w:rsidRPr="0043403F">
        <w:rPr>
          <w:rFonts w:ascii="Calibri" w:hAnsi="Calibri"/>
          <w:lang w:val="en-GB"/>
        </w:rPr>
        <w:t xml:space="preserve"> operations. At 31 December 2011, </w:t>
      </w:r>
      <w:proofErr w:type="spellStart"/>
      <w:r w:rsidRPr="0043403F">
        <w:rPr>
          <w:rFonts w:ascii="Calibri" w:hAnsi="Calibri"/>
          <w:lang w:val="en-GB"/>
        </w:rPr>
        <w:t>O’Key’s</w:t>
      </w:r>
      <w:proofErr w:type="spellEnd"/>
      <w:r w:rsidR="0009006D" w:rsidRPr="0043403F">
        <w:rPr>
          <w:rFonts w:ascii="Calibri" w:hAnsi="Calibri"/>
          <w:lang w:val="en-GB"/>
        </w:rPr>
        <w:t xml:space="preserve"> net debt to EBITDA ratio was 1.2.</w:t>
      </w:r>
    </w:p>
    <w:p w:rsidR="00AA186A" w:rsidRPr="00022EBB" w:rsidRDefault="00AA186A" w:rsidP="00AA186A">
      <w:pPr>
        <w:pStyle w:val="Sansinterligne"/>
        <w:jc w:val="both"/>
        <w:rPr>
          <w:rFonts w:cs="Calibri"/>
          <w:b/>
          <w:i/>
          <w:color w:val="C00000"/>
          <w:sz w:val="20"/>
          <w:szCs w:val="20"/>
          <w:lang w:val="en-US"/>
        </w:rPr>
      </w:pPr>
      <w:r w:rsidRPr="00022EBB">
        <w:rPr>
          <w:rFonts w:cs="Calibri"/>
          <w:b/>
          <w:i/>
          <w:color w:val="C00000"/>
          <w:sz w:val="20"/>
          <w:szCs w:val="20"/>
          <w:lang w:val="en-US"/>
        </w:rPr>
        <w:t>____________________________________________________________________________________________</w:t>
      </w:r>
    </w:p>
    <w:p w:rsidR="009A0CAE" w:rsidRPr="00022EBB" w:rsidRDefault="009A0CAE" w:rsidP="009A0CAE">
      <w:pPr>
        <w:pStyle w:val="Sansinterligne"/>
        <w:jc w:val="both"/>
        <w:rPr>
          <w:rFonts w:cs="Calibri"/>
          <w:color w:val="C00000"/>
          <w:szCs w:val="22"/>
          <w:lang w:val="en-US"/>
        </w:rPr>
      </w:pPr>
      <w:r w:rsidRPr="00022EBB">
        <w:rPr>
          <w:rFonts w:cs="Calibri"/>
          <w:color w:val="C00000"/>
          <w:szCs w:val="22"/>
          <w:lang w:val="en-US"/>
        </w:rPr>
        <w:t>COMPANY OVERVIEW</w:t>
      </w:r>
    </w:p>
    <w:p w:rsidR="009A0CAE" w:rsidRPr="00022EBB" w:rsidRDefault="009A0CAE" w:rsidP="009A0CAE">
      <w:pPr>
        <w:pStyle w:val="Sansinterligne"/>
        <w:jc w:val="both"/>
        <w:rPr>
          <w:rFonts w:cs="Calibri"/>
          <w:color w:val="000000"/>
          <w:szCs w:val="22"/>
          <w:lang w:val="en-US"/>
        </w:rPr>
      </w:pPr>
    </w:p>
    <w:p w:rsidR="009A0CAE" w:rsidRPr="00022EBB" w:rsidRDefault="009A0CAE" w:rsidP="009A0CAE">
      <w:pPr>
        <w:pStyle w:val="Sansinterligne"/>
        <w:jc w:val="both"/>
        <w:rPr>
          <w:rFonts w:cs="Calibri"/>
          <w:color w:val="000000"/>
          <w:szCs w:val="22"/>
          <w:lang w:val="en-US"/>
        </w:rPr>
      </w:pPr>
      <w:r w:rsidRPr="00022EBB">
        <w:rPr>
          <w:rFonts w:cs="Calibri"/>
          <w:color w:val="000000"/>
          <w:szCs w:val="22"/>
          <w:lang w:val="en-US"/>
        </w:rPr>
        <w:t>“O’KEY” is one of the largest retail chains in Russia. Its primary retail format is the modern Western European hypermarket under the “O’KEY” brand, complemented by “O’KEY - Express” supermarkets.</w:t>
      </w:r>
    </w:p>
    <w:p w:rsidR="009A0CAE" w:rsidRPr="00022EBB" w:rsidRDefault="009A0CAE" w:rsidP="009A0CAE">
      <w:pPr>
        <w:pStyle w:val="Sansinterligne"/>
        <w:jc w:val="both"/>
        <w:rPr>
          <w:rFonts w:cs="Calibri"/>
          <w:color w:val="000000"/>
          <w:szCs w:val="22"/>
          <w:lang w:val="en-US"/>
        </w:rPr>
      </w:pPr>
    </w:p>
    <w:p w:rsidR="009A0CAE" w:rsidRPr="00022EBB" w:rsidRDefault="009A0CAE" w:rsidP="009A0CAE">
      <w:pPr>
        <w:pStyle w:val="Sansinterligne"/>
        <w:jc w:val="both"/>
        <w:rPr>
          <w:rFonts w:cs="Calibri"/>
          <w:color w:val="000000"/>
          <w:szCs w:val="22"/>
          <w:lang w:val="en-US"/>
        </w:rPr>
      </w:pPr>
      <w:r w:rsidRPr="00022EBB">
        <w:rPr>
          <w:rFonts w:cs="Calibri"/>
          <w:color w:val="000000"/>
          <w:szCs w:val="22"/>
          <w:lang w:val="en-US"/>
        </w:rPr>
        <w:lastRenderedPageBreak/>
        <w:t xml:space="preserve">The Company opened its first hypermarket in St. Petersburg in 2002 and has demonstrated continuous growth ever since. </w:t>
      </w:r>
      <w:r w:rsidR="0049725F">
        <w:rPr>
          <w:rFonts w:cs="Calibri"/>
          <w:color w:val="000000"/>
          <w:szCs w:val="22"/>
          <w:lang w:val="en-US"/>
        </w:rPr>
        <w:t xml:space="preserve"> </w:t>
      </w:r>
      <w:r w:rsidRPr="00022EBB">
        <w:rPr>
          <w:rFonts w:cs="Calibri"/>
          <w:color w:val="000000"/>
          <w:szCs w:val="22"/>
          <w:lang w:val="en-US"/>
        </w:rPr>
        <w:t>As at</w:t>
      </w:r>
      <w:r w:rsidR="003A726A" w:rsidRPr="00022EBB">
        <w:rPr>
          <w:rFonts w:cs="Calibri"/>
          <w:color w:val="000000"/>
          <w:szCs w:val="22"/>
          <w:lang w:val="en-US"/>
        </w:rPr>
        <w:t xml:space="preserve"> </w:t>
      </w:r>
      <w:r w:rsidR="004D5DCA" w:rsidRPr="00022EBB">
        <w:rPr>
          <w:rFonts w:cs="Calibri"/>
          <w:color w:val="000000"/>
          <w:szCs w:val="22"/>
          <w:lang w:val="en-US"/>
        </w:rPr>
        <w:t>31</w:t>
      </w:r>
      <w:r w:rsidR="003A726A" w:rsidRPr="00022EBB">
        <w:rPr>
          <w:rFonts w:cs="Calibri"/>
          <w:color w:val="000000"/>
          <w:szCs w:val="22"/>
          <w:lang w:val="en-US"/>
        </w:rPr>
        <w:t> </w:t>
      </w:r>
      <w:r w:rsidR="004D5DCA" w:rsidRPr="00022EBB">
        <w:rPr>
          <w:rFonts w:cs="Calibri"/>
          <w:color w:val="000000"/>
          <w:szCs w:val="22"/>
          <w:lang w:val="en-US"/>
        </w:rPr>
        <w:t>December</w:t>
      </w:r>
      <w:r w:rsidR="001771BA">
        <w:rPr>
          <w:rFonts w:cs="Calibri"/>
          <w:color w:val="000000"/>
          <w:szCs w:val="22"/>
          <w:lang w:val="en-US"/>
        </w:rPr>
        <w:t xml:space="preserve"> 2011, O’KEY operated </w:t>
      </w:r>
      <w:r w:rsidR="004D5DCA" w:rsidRPr="00022EBB">
        <w:rPr>
          <w:rFonts w:cs="Calibri"/>
          <w:color w:val="000000"/>
          <w:szCs w:val="22"/>
          <w:lang w:val="en-US"/>
        </w:rPr>
        <w:t>7</w:t>
      </w:r>
      <w:r w:rsidR="001771BA">
        <w:rPr>
          <w:rFonts w:cs="Calibri"/>
          <w:color w:val="000000"/>
          <w:szCs w:val="22"/>
          <w:lang w:val="en-US"/>
        </w:rPr>
        <w:t>1</w:t>
      </w:r>
      <w:r w:rsidRPr="00022EBB">
        <w:rPr>
          <w:rFonts w:cs="Calibri"/>
          <w:color w:val="000000"/>
          <w:szCs w:val="22"/>
          <w:lang w:val="en-US"/>
        </w:rPr>
        <w:t xml:space="preserve"> stores </w:t>
      </w:r>
      <w:r w:rsidR="001771BA">
        <w:rPr>
          <w:rFonts w:cs="Calibri"/>
          <w:color w:val="000000"/>
          <w:szCs w:val="22"/>
          <w:lang w:val="en-US"/>
        </w:rPr>
        <w:t xml:space="preserve">in 17 cities </w:t>
      </w:r>
      <w:r w:rsidR="004D5DCA" w:rsidRPr="00022EBB">
        <w:rPr>
          <w:rFonts w:cs="Calibri"/>
          <w:color w:val="000000"/>
          <w:szCs w:val="22"/>
          <w:lang w:val="en-US"/>
        </w:rPr>
        <w:t xml:space="preserve">across Russia: </w:t>
      </w:r>
      <w:r w:rsidR="001771BA">
        <w:rPr>
          <w:rFonts w:cs="Calibri"/>
          <w:color w:val="000000"/>
          <w:szCs w:val="22"/>
          <w:lang w:val="en-US"/>
        </w:rPr>
        <w:t>42</w:t>
      </w:r>
      <w:r w:rsidRPr="00022EBB">
        <w:rPr>
          <w:rFonts w:cs="Calibri"/>
          <w:color w:val="000000"/>
          <w:szCs w:val="22"/>
          <w:lang w:val="en-US"/>
        </w:rPr>
        <w:t> hypermarkets with</w:t>
      </w:r>
      <w:bookmarkStart w:id="0" w:name="_GoBack"/>
      <w:bookmarkEnd w:id="0"/>
      <w:r w:rsidRPr="00022EBB">
        <w:rPr>
          <w:rFonts w:cs="Calibri"/>
          <w:color w:val="000000"/>
          <w:szCs w:val="22"/>
          <w:lang w:val="en-US"/>
        </w:rPr>
        <w:t xml:space="preserve"> an aggregate se</w:t>
      </w:r>
      <w:r w:rsidR="004D5DCA" w:rsidRPr="00022EBB">
        <w:rPr>
          <w:rFonts w:cs="Calibri"/>
          <w:color w:val="000000"/>
          <w:szCs w:val="22"/>
          <w:lang w:val="en-US"/>
        </w:rPr>
        <w:t xml:space="preserve">lling space of approximately </w:t>
      </w:r>
      <w:r w:rsidR="001771BA">
        <w:rPr>
          <w:rFonts w:cs="Calibri"/>
          <w:color w:val="000000"/>
          <w:szCs w:val="22"/>
          <w:lang w:val="en-US"/>
        </w:rPr>
        <w:t>308</w:t>
      </w:r>
      <w:r w:rsidR="004D5DCA" w:rsidRPr="00022EBB">
        <w:rPr>
          <w:rFonts w:cs="Calibri"/>
          <w:color w:val="000000"/>
          <w:szCs w:val="22"/>
          <w:lang w:val="en-US"/>
        </w:rPr>
        <w:t>,0</w:t>
      </w:r>
      <w:r w:rsidRPr="00022EBB">
        <w:rPr>
          <w:rFonts w:cs="Calibri"/>
          <w:color w:val="000000"/>
          <w:szCs w:val="22"/>
          <w:lang w:val="en-US"/>
        </w:rPr>
        <w:t>00 squ</w:t>
      </w:r>
      <w:r w:rsidR="001771BA">
        <w:rPr>
          <w:rFonts w:cs="Calibri"/>
          <w:color w:val="000000"/>
          <w:szCs w:val="22"/>
          <w:lang w:val="en-US"/>
        </w:rPr>
        <w:t>are meters and 29</w:t>
      </w:r>
      <w:r w:rsidRPr="00022EBB">
        <w:rPr>
          <w:rFonts w:cs="Calibri"/>
          <w:color w:val="000000"/>
          <w:szCs w:val="22"/>
          <w:lang w:val="en-US"/>
        </w:rPr>
        <w:t xml:space="preserve"> supermarkets with an aggregate </w:t>
      </w:r>
      <w:r w:rsidR="001771BA">
        <w:rPr>
          <w:rFonts w:cs="Calibri"/>
          <w:color w:val="000000"/>
          <w:szCs w:val="22"/>
          <w:lang w:val="en-US"/>
        </w:rPr>
        <w:t xml:space="preserve">trading space </w:t>
      </w:r>
      <w:r w:rsidR="004D5DCA" w:rsidRPr="00022EBB">
        <w:rPr>
          <w:rFonts w:cs="Calibri"/>
          <w:color w:val="000000"/>
          <w:szCs w:val="22"/>
          <w:lang w:val="en-US"/>
        </w:rPr>
        <w:t xml:space="preserve">of approximately </w:t>
      </w:r>
      <w:r w:rsidR="001771BA">
        <w:rPr>
          <w:rFonts w:cs="Calibri"/>
          <w:color w:val="000000"/>
          <w:szCs w:val="22"/>
          <w:lang w:val="en-US"/>
        </w:rPr>
        <w:t>38</w:t>
      </w:r>
      <w:r w:rsidRPr="00022EBB">
        <w:rPr>
          <w:rFonts w:cs="Calibri"/>
          <w:color w:val="000000"/>
          <w:szCs w:val="22"/>
          <w:lang w:val="en-US"/>
        </w:rPr>
        <w:t>,000 square meters.</w:t>
      </w:r>
      <w:r w:rsidR="001771BA">
        <w:rPr>
          <w:rFonts w:cs="Calibri"/>
          <w:color w:val="000000"/>
          <w:szCs w:val="22"/>
          <w:lang w:val="en-US"/>
        </w:rPr>
        <w:t xml:space="preserve"> As of 31 December 2011</w:t>
      </w:r>
      <w:r w:rsidR="0043403F">
        <w:rPr>
          <w:rFonts w:cs="Calibri"/>
          <w:color w:val="000000"/>
          <w:szCs w:val="22"/>
          <w:lang w:val="en-US"/>
        </w:rPr>
        <w:t>,</w:t>
      </w:r>
      <w:r w:rsidR="001771BA">
        <w:rPr>
          <w:rFonts w:cs="Calibri"/>
          <w:color w:val="000000"/>
          <w:szCs w:val="22"/>
          <w:lang w:val="en-US"/>
        </w:rPr>
        <w:t xml:space="preserve"> </w:t>
      </w:r>
      <w:proofErr w:type="spellStart"/>
      <w:r w:rsidR="001771BA">
        <w:rPr>
          <w:rFonts w:cs="Calibri"/>
          <w:color w:val="000000"/>
          <w:szCs w:val="22"/>
          <w:lang w:val="en-US"/>
        </w:rPr>
        <w:t>O’Key</w:t>
      </w:r>
      <w:proofErr w:type="spellEnd"/>
      <w:r w:rsidR="001771BA">
        <w:rPr>
          <w:rFonts w:cs="Calibri"/>
          <w:color w:val="000000"/>
          <w:szCs w:val="22"/>
          <w:lang w:val="en-US"/>
        </w:rPr>
        <w:t xml:space="preserve"> employed</w:t>
      </w:r>
      <w:r w:rsidR="0043403F">
        <w:rPr>
          <w:rFonts w:cs="Calibri"/>
          <w:color w:val="000000"/>
          <w:szCs w:val="22"/>
          <w:lang w:val="en-US"/>
        </w:rPr>
        <w:t xml:space="preserve"> more than 19,000 people.</w:t>
      </w:r>
      <w:r w:rsidRPr="00022EBB">
        <w:rPr>
          <w:rFonts w:cs="Calibri"/>
          <w:color w:val="000000"/>
          <w:szCs w:val="22"/>
          <w:lang w:val="en-US"/>
        </w:rPr>
        <w:t xml:space="preserve"> </w:t>
      </w:r>
    </w:p>
    <w:p w:rsidR="004D5DCA" w:rsidRPr="00022EBB" w:rsidRDefault="004D5DCA" w:rsidP="009A0CAE">
      <w:pPr>
        <w:pStyle w:val="Sansinterligne"/>
        <w:jc w:val="both"/>
        <w:rPr>
          <w:rFonts w:cs="Calibri"/>
          <w:color w:val="000000"/>
          <w:szCs w:val="22"/>
          <w:lang w:val="en-US"/>
        </w:rPr>
      </w:pPr>
    </w:p>
    <w:p w:rsidR="009A0CAE" w:rsidRPr="00022EBB" w:rsidRDefault="000D0D8B" w:rsidP="009A0CAE">
      <w:pPr>
        <w:pStyle w:val="Sansinterligne"/>
        <w:jc w:val="both"/>
        <w:rPr>
          <w:rFonts w:cs="Calibri"/>
          <w:color w:val="000000"/>
          <w:szCs w:val="22"/>
          <w:lang w:val="en-US"/>
        </w:rPr>
      </w:pPr>
      <w:r>
        <w:rPr>
          <w:rFonts w:cs="Calibri"/>
          <w:color w:val="000000"/>
          <w:szCs w:val="22"/>
          <w:lang w:val="en-US"/>
        </w:rPr>
        <w:t xml:space="preserve">In accordance with the </w:t>
      </w:r>
      <w:r w:rsidR="009A0CAE" w:rsidRPr="00022EBB">
        <w:rPr>
          <w:rFonts w:cs="Calibri"/>
          <w:color w:val="000000"/>
          <w:szCs w:val="22"/>
          <w:lang w:val="en-US"/>
        </w:rPr>
        <w:t xml:space="preserve">audited consolidated financial statements for </w:t>
      </w:r>
      <w:r>
        <w:rPr>
          <w:rFonts w:cs="Calibri"/>
          <w:color w:val="000000"/>
          <w:szCs w:val="22"/>
          <w:lang w:val="en-US"/>
        </w:rPr>
        <w:t>FY</w:t>
      </w:r>
      <w:r w:rsidR="009A0CAE" w:rsidRPr="00022EBB">
        <w:rPr>
          <w:rFonts w:cs="Calibri"/>
          <w:color w:val="000000"/>
          <w:szCs w:val="22"/>
          <w:lang w:val="en-US"/>
        </w:rPr>
        <w:t xml:space="preserve"> </w:t>
      </w:r>
      <w:r w:rsidR="0043403F">
        <w:rPr>
          <w:rFonts w:cs="Calibri"/>
          <w:color w:val="000000"/>
          <w:szCs w:val="22"/>
          <w:lang w:val="en-US"/>
        </w:rPr>
        <w:t>2011</w:t>
      </w:r>
      <w:r>
        <w:rPr>
          <w:rFonts w:cs="Calibri"/>
          <w:color w:val="000000"/>
          <w:szCs w:val="22"/>
          <w:lang w:val="en-US"/>
        </w:rPr>
        <w:t xml:space="preserve">, O’KEY’s revenue was RUR </w:t>
      </w:r>
      <w:r w:rsidR="0043403F">
        <w:rPr>
          <w:rFonts w:cs="Calibri"/>
          <w:color w:val="000000"/>
          <w:szCs w:val="22"/>
          <w:lang w:val="en-US"/>
        </w:rPr>
        <w:t>93,134</w:t>
      </w:r>
      <w:r w:rsidR="009A0CAE" w:rsidRPr="00022EBB">
        <w:rPr>
          <w:rFonts w:cs="Calibri"/>
          <w:color w:val="000000"/>
          <w:szCs w:val="22"/>
          <w:lang w:val="en-US"/>
        </w:rPr>
        <w:t> million, like-fo</w:t>
      </w:r>
      <w:r>
        <w:rPr>
          <w:rFonts w:cs="Calibri"/>
          <w:color w:val="000000"/>
          <w:szCs w:val="22"/>
          <w:lang w:val="en-US"/>
        </w:rPr>
        <w:t>r-</w:t>
      </w:r>
      <w:r w:rsidR="0043403F">
        <w:rPr>
          <w:rFonts w:cs="Calibri"/>
          <w:color w:val="000000"/>
          <w:szCs w:val="22"/>
          <w:lang w:val="en-US"/>
        </w:rPr>
        <w:t>like revenue growth rate was 5.3</w:t>
      </w:r>
      <w:r w:rsidR="009A0CAE" w:rsidRPr="00022EBB">
        <w:rPr>
          <w:rFonts w:cs="Calibri"/>
          <w:color w:val="000000"/>
          <w:szCs w:val="22"/>
          <w:lang w:val="en-US"/>
        </w:rPr>
        <w:t>% and EBITDA margin w</w:t>
      </w:r>
      <w:r w:rsidR="0043403F">
        <w:rPr>
          <w:rFonts w:cs="Calibri"/>
          <w:color w:val="000000"/>
          <w:szCs w:val="22"/>
          <w:lang w:val="en-US"/>
        </w:rPr>
        <w:t>as 8.1</w:t>
      </w:r>
      <w:r w:rsidR="009A0CAE" w:rsidRPr="00022EBB">
        <w:rPr>
          <w:rFonts w:cs="Calibri"/>
          <w:color w:val="000000"/>
          <w:szCs w:val="22"/>
          <w:lang w:val="en-US"/>
        </w:rPr>
        <w:t>%.</w:t>
      </w:r>
    </w:p>
    <w:p w:rsidR="009A0CAE" w:rsidRPr="00022EBB" w:rsidRDefault="009A0CAE" w:rsidP="009A0CAE">
      <w:pPr>
        <w:pStyle w:val="Sansinterligne"/>
        <w:jc w:val="both"/>
        <w:rPr>
          <w:rFonts w:cs="Calibri"/>
          <w:b/>
          <w:i/>
          <w:color w:val="C00000"/>
          <w:sz w:val="20"/>
          <w:szCs w:val="20"/>
          <w:lang w:val="en-US"/>
        </w:rPr>
      </w:pPr>
      <w:r w:rsidRPr="00022EBB">
        <w:rPr>
          <w:rFonts w:cs="Calibri"/>
          <w:b/>
          <w:i/>
          <w:color w:val="C00000"/>
          <w:sz w:val="20"/>
          <w:szCs w:val="20"/>
          <w:lang w:val="en-US"/>
        </w:rPr>
        <w:t>____________________________________________________________________________________________</w:t>
      </w:r>
    </w:p>
    <w:p w:rsidR="009A0CAE" w:rsidRPr="00022EBB" w:rsidRDefault="009A0CAE" w:rsidP="009A0CAE">
      <w:pPr>
        <w:pStyle w:val="Sansinterligne"/>
        <w:jc w:val="both"/>
        <w:rPr>
          <w:rFonts w:cs="Calibri"/>
          <w:szCs w:val="22"/>
          <w:lang w:val="en-US"/>
        </w:rPr>
      </w:pPr>
      <w:r w:rsidRPr="00022EBB">
        <w:rPr>
          <w:rFonts w:cs="Calibri"/>
          <w:szCs w:val="22"/>
          <w:lang w:val="en-US"/>
        </w:rPr>
        <w:t>For further information please contact:</w:t>
      </w:r>
    </w:p>
    <w:p w:rsidR="009A0CAE" w:rsidRPr="00022EBB" w:rsidRDefault="009A0CAE" w:rsidP="009A0CAE">
      <w:pPr>
        <w:pStyle w:val="Sansinterligne"/>
        <w:jc w:val="both"/>
        <w:rPr>
          <w:rFonts w:cs="Calibri"/>
          <w:szCs w:val="22"/>
          <w:lang w:val="en-US"/>
        </w:rPr>
      </w:pPr>
    </w:p>
    <w:p w:rsidR="00DB76BC" w:rsidRPr="00022EBB" w:rsidRDefault="009A0CAE" w:rsidP="00DB76BC">
      <w:pPr>
        <w:pStyle w:val="Sansinterligne"/>
        <w:jc w:val="both"/>
        <w:rPr>
          <w:rFonts w:cs="Calibri"/>
          <w:szCs w:val="22"/>
          <w:lang w:val="en-US"/>
        </w:rPr>
      </w:pPr>
      <w:r w:rsidRPr="00022EBB">
        <w:rPr>
          <w:rFonts w:cs="Calibri"/>
          <w:szCs w:val="22"/>
          <w:lang w:val="en-US"/>
        </w:rPr>
        <w:t>Maksim Kravtsov</w:t>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43403F">
        <w:rPr>
          <w:rFonts w:cs="Calibri"/>
          <w:szCs w:val="22"/>
          <w:lang w:val="en-US"/>
        </w:rPr>
        <w:t xml:space="preserve">Artem </w:t>
      </w:r>
      <w:proofErr w:type="spellStart"/>
      <w:r w:rsidR="0043403F">
        <w:rPr>
          <w:rFonts w:cs="Calibri"/>
          <w:szCs w:val="22"/>
          <w:lang w:val="en-US"/>
        </w:rPr>
        <w:t>Glushenko</w:t>
      </w:r>
      <w:proofErr w:type="spellEnd"/>
    </w:p>
    <w:p w:rsidR="00DB76BC" w:rsidRPr="00022EBB" w:rsidRDefault="009A0CAE" w:rsidP="00DB76BC">
      <w:pPr>
        <w:pStyle w:val="Sansinterligne"/>
        <w:jc w:val="both"/>
        <w:rPr>
          <w:rFonts w:cs="Calibri"/>
          <w:szCs w:val="22"/>
          <w:lang w:val="en-US"/>
        </w:rPr>
      </w:pPr>
      <w:r w:rsidRPr="00022EBB">
        <w:rPr>
          <w:rFonts w:cs="Calibri"/>
          <w:szCs w:val="22"/>
          <w:lang w:val="en-US"/>
        </w:rPr>
        <w:t>Head of investor relations</w:t>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t>Head of public relations</w:t>
      </w:r>
    </w:p>
    <w:p w:rsidR="00DB76BC" w:rsidRPr="00022EBB" w:rsidRDefault="009A0CAE" w:rsidP="00DB76BC">
      <w:pPr>
        <w:pStyle w:val="Sansinterligne"/>
        <w:jc w:val="both"/>
        <w:rPr>
          <w:rFonts w:cs="Calibri"/>
          <w:noProof/>
          <w:color w:val="0D0D0D"/>
          <w:szCs w:val="22"/>
          <w:lang w:val="en-US"/>
        </w:rPr>
      </w:pPr>
      <w:r w:rsidRPr="00022EBB">
        <w:rPr>
          <w:rFonts w:cs="Calibri"/>
          <w:noProof/>
          <w:color w:val="0D0D0D"/>
          <w:szCs w:val="22"/>
          <w:lang w:val="en-US"/>
        </w:rPr>
        <w:t>Num. +7(495)6636677, ext. 220</w:t>
      </w:r>
      <w:r w:rsidR="00DB76BC" w:rsidRPr="00022EBB">
        <w:rPr>
          <w:rFonts w:cs="Calibri"/>
          <w:noProof/>
          <w:color w:val="0D0D0D"/>
          <w:szCs w:val="22"/>
          <w:lang w:val="en-US"/>
        </w:rPr>
        <w:tab/>
      </w:r>
      <w:r w:rsidR="00DB76BC" w:rsidRPr="00022EBB">
        <w:rPr>
          <w:rFonts w:cs="Calibri"/>
          <w:noProof/>
          <w:color w:val="0D0D0D"/>
          <w:szCs w:val="22"/>
          <w:lang w:val="en-US"/>
        </w:rPr>
        <w:tab/>
      </w:r>
      <w:r w:rsidR="00DB76BC" w:rsidRPr="00022EBB">
        <w:rPr>
          <w:rFonts w:cs="Calibri"/>
          <w:noProof/>
          <w:color w:val="0D0D0D"/>
          <w:szCs w:val="22"/>
          <w:lang w:val="en-US"/>
        </w:rPr>
        <w:tab/>
      </w:r>
      <w:r w:rsidR="00DB76BC" w:rsidRPr="00022EBB">
        <w:rPr>
          <w:rFonts w:cs="Calibri"/>
          <w:noProof/>
          <w:color w:val="0D0D0D"/>
          <w:szCs w:val="22"/>
          <w:lang w:val="en-US"/>
        </w:rPr>
        <w:tab/>
      </w:r>
      <w:r w:rsidR="00DB76BC" w:rsidRPr="00022EBB">
        <w:rPr>
          <w:rFonts w:cs="Calibri"/>
          <w:noProof/>
          <w:color w:val="0D0D0D"/>
          <w:szCs w:val="22"/>
          <w:lang w:val="en-US"/>
        </w:rPr>
        <w:tab/>
        <w:t xml:space="preserve">Num. +7(495)6636677, ext. </w:t>
      </w:r>
      <w:r w:rsidR="0043403F">
        <w:rPr>
          <w:rFonts w:cs="Calibri"/>
          <w:noProof/>
          <w:color w:val="0D0D0D"/>
          <w:szCs w:val="22"/>
          <w:lang w:val="en-US"/>
        </w:rPr>
        <w:t>338</w:t>
      </w:r>
    </w:p>
    <w:p w:rsidR="00DB76BC" w:rsidRPr="00022EBB" w:rsidRDefault="009A0CAE" w:rsidP="00DB76BC">
      <w:pPr>
        <w:pStyle w:val="Sansinterligne"/>
        <w:jc w:val="both"/>
        <w:rPr>
          <w:rFonts w:cs="Calibri"/>
          <w:szCs w:val="22"/>
          <w:lang w:val="en-US"/>
        </w:rPr>
      </w:pPr>
      <w:proofErr w:type="gramStart"/>
      <w:r w:rsidRPr="00022EBB">
        <w:rPr>
          <w:rFonts w:cs="Calibri"/>
          <w:szCs w:val="22"/>
          <w:lang w:val="en-US"/>
        </w:rPr>
        <w:t>e-mail</w:t>
      </w:r>
      <w:proofErr w:type="gramEnd"/>
      <w:r w:rsidRPr="00022EBB">
        <w:rPr>
          <w:rFonts w:cs="Calibri"/>
          <w:szCs w:val="22"/>
          <w:lang w:val="en-US"/>
        </w:rPr>
        <w:t xml:space="preserve">: </w:t>
      </w:r>
      <w:hyperlink r:id="rId9" w:history="1">
        <w:r w:rsidRPr="00022EBB">
          <w:rPr>
            <w:rStyle w:val="Hyperlink"/>
            <w:rFonts w:cs="Calibri"/>
            <w:szCs w:val="22"/>
            <w:lang w:val="en-US"/>
          </w:rPr>
          <w:t>ir@okmarket.ru</w:t>
        </w:r>
      </w:hyperlink>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t xml:space="preserve">e-mail: </w:t>
      </w:r>
      <w:hyperlink r:id="rId10" w:history="1">
        <w:r w:rsidR="00DB76BC" w:rsidRPr="00022EBB">
          <w:rPr>
            <w:rStyle w:val="Hyperlink"/>
            <w:rFonts w:cs="Calibri"/>
            <w:noProof/>
            <w:szCs w:val="22"/>
            <w:lang w:val="en-US"/>
          </w:rPr>
          <w:t>corpcom@okmarket.ru</w:t>
        </w:r>
      </w:hyperlink>
    </w:p>
    <w:p w:rsidR="00DB76BC" w:rsidRPr="00317372" w:rsidRDefault="001F1E4B" w:rsidP="00DB76BC">
      <w:pPr>
        <w:pStyle w:val="Sansinterligne"/>
        <w:jc w:val="both"/>
        <w:rPr>
          <w:rFonts w:cs="Calibri"/>
          <w:szCs w:val="22"/>
          <w:lang w:val="en-US"/>
        </w:rPr>
      </w:pPr>
      <w:hyperlink r:id="rId11" w:history="1">
        <w:r w:rsidR="009A0CAE" w:rsidRPr="00022EBB">
          <w:rPr>
            <w:rStyle w:val="Hyperlink"/>
            <w:rFonts w:cs="Calibri"/>
            <w:szCs w:val="22"/>
            <w:lang w:val="en-US"/>
          </w:rPr>
          <w:t>www.okmarket.ru</w:t>
        </w:r>
      </w:hyperlink>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r w:rsidR="00DB76BC" w:rsidRPr="00022EBB">
        <w:rPr>
          <w:rFonts w:cs="Calibri"/>
          <w:szCs w:val="22"/>
          <w:lang w:val="en-US"/>
        </w:rPr>
        <w:tab/>
      </w:r>
      <w:hyperlink r:id="rId12" w:history="1">
        <w:r w:rsidR="00DB76BC" w:rsidRPr="00022EBB">
          <w:rPr>
            <w:rStyle w:val="Hyperlink"/>
            <w:rFonts w:cs="Calibri"/>
            <w:szCs w:val="22"/>
            <w:lang w:val="en-US"/>
          </w:rPr>
          <w:t>www.okmarket.ru</w:t>
        </w:r>
      </w:hyperlink>
    </w:p>
    <w:sectPr w:rsidR="00DB76BC" w:rsidRPr="00317372" w:rsidSect="00DD09D6">
      <w:headerReference w:type="default" r:id="rId13"/>
      <w:pgSz w:w="11906" w:h="16838"/>
      <w:pgMar w:top="1418"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E4B" w:rsidRDefault="001F1E4B">
      <w:r>
        <w:separator/>
      </w:r>
    </w:p>
  </w:endnote>
  <w:endnote w:type="continuationSeparator" w:id="0">
    <w:p w:rsidR="001F1E4B" w:rsidRDefault="001F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E4B" w:rsidRDefault="001F1E4B">
      <w:r>
        <w:separator/>
      </w:r>
    </w:p>
  </w:footnote>
  <w:footnote w:type="continuationSeparator" w:id="0">
    <w:p w:rsidR="001F1E4B" w:rsidRDefault="001F1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BA" w:rsidRDefault="00096947">
    <w:pPr>
      <w:pStyle w:val="Header"/>
    </w:pPr>
    <w:r>
      <w:rPr>
        <w:noProof/>
      </w:rPr>
      <w:drawing>
        <wp:anchor distT="0" distB="0" distL="114300" distR="114300" simplePos="0" relativeHeight="251657728" behindDoc="1" locked="0" layoutInCell="1" allowOverlap="1">
          <wp:simplePos x="0" y="0"/>
          <wp:positionH relativeFrom="column">
            <wp:posOffset>-834390</wp:posOffset>
          </wp:positionH>
          <wp:positionV relativeFrom="paragraph">
            <wp:posOffset>-537210</wp:posOffset>
          </wp:positionV>
          <wp:extent cx="7733030" cy="10972800"/>
          <wp:effectExtent l="0" t="0" r="1270" b="0"/>
          <wp:wrapNone/>
          <wp:docPr id="1" name="Рисунок 3" descr="magaz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agaz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030" cy="1097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F68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04824A2"/>
    <w:multiLevelType w:val="hybridMultilevel"/>
    <w:tmpl w:val="2B82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9E253C"/>
    <w:multiLevelType w:val="hybridMultilevel"/>
    <w:tmpl w:val="A99070C8"/>
    <w:lvl w:ilvl="0" w:tplc="C87CF7B6">
      <w:start w:val="2"/>
      <w:numFmt w:val="bullet"/>
      <w:lvlText w:val="-"/>
      <w:lvlJc w:val="left"/>
      <w:pPr>
        <w:ind w:left="360" w:hanging="360"/>
      </w:pPr>
      <w:rPr>
        <w:rFonts w:ascii="Calibri" w:eastAsia="SimSu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07F4758"/>
    <w:multiLevelType w:val="hybridMultilevel"/>
    <w:tmpl w:val="A8BE0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DD4E6E"/>
    <w:multiLevelType w:val="hybridMultilevel"/>
    <w:tmpl w:val="18C47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4641BA"/>
    <w:multiLevelType w:val="hybridMultilevel"/>
    <w:tmpl w:val="D144B626"/>
    <w:lvl w:ilvl="0" w:tplc="E51C109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0A1485"/>
    <w:multiLevelType w:val="hybridMultilevel"/>
    <w:tmpl w:val="256AC40A"/>
    <w:lvl w:ilvl="0" w:tplc="E9E204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1F"/>
    <w:rsid w:val="000002DD"/>
    <w:rsid w:val="000020B7"/>
    <w:rsid w:val="00002165"/>
    <w:rsid w:val="000025C1"/>
    <w:rsid w:val="00002A49"/>
    <w:rsid w:val="00003248"/>
    <w:rsid w:val="0000518F"/>
    <w:rsid w:val="00005B4E"/>
    <w:rsid w:val="00005C38"/>
    <w:rsid w:val="00007591"/>
    <w:rsid w:val="00010126"/>
    <w:rsid w:val="00012954"/>
    <w:rsid w:val="00012D02"/>
    <w:rsid w:val="00012E59"/>
    <w:rsid w:val="000135E5"/>
    <w:rsid w:val="00013E43"/>
    <w:rsid w:val="00014381"/>
    <w:rsid w:val="00014913"/>
    <w:rsid w:val="000155CC"/>
    <w:rsid w:val="00015F03"/>
    <w:rsid w:val="000166AD"/>
    <w:rsid w:val="00017261"/>
    <w:rsid w:val="00017F76"/>
    <w:rsid w:val="0002009E"/>
    <w:rsid w:val="00021C5D"/>
    <w:rsid w:val="00022DF7"/>
    <w:rsid w:val="00022EBB"/>
    <w:rsid w:val="00023F51"/>
    <w:rsid w:val="00025C2C"/>
    <w:rsid w:val="00025E3B"/>
    <w:rsid w:val="000311B6"/>
    <w:rsid w:val="000318A0"/>
    <w:rsid w:val="00034487"/>
    <w:rsid w:val="000352E8"/>
    <w:rsid w:val="0003533D"/>
    <w:rsid w:val="000354EF"/>
    <w:rsid w:val="00037441"/>
    <w:rsid w:val="000376C5"/>
    <w:rsid w:val="0004119E"/>
    <w:rsid w:val="00041AA6"/>
    <w:rsid w:val="00043AA2"/>
    <w:rsid w:val="00044897"/>
    <w:rsid w:val="000460E9"/>
    <w:rsid w:val="000460F9"/>
    <w:rsid w:val="00046B6E"/>
    <w:rsid w:val="00046C9A"/>
    <w:rsid w:val="00046D7E"/>
    <w:rsid w:val="000470C1"/>
    <w:rsid w:val="00047811"/>
    <w:rsid w:val="00052D0A"/>
    <w:rsid w:val="00052EA4"/>
    <w:rsid w:val="0005381B"/>
    <w:rsid w:val="00053A38"/>
    <w:rsid w:val="000540BB"/>
    <w:rsid w:val="00054306"/>
    <w:rsid w:val="0005479F"/>
    <w:rsid w:val="00055326"/>
    <w:rsid w:val="0005550F"/>
    <w:rsid w:val="00055EB9"/>
    <w:rsid w:val="00055EEB"/>
    <w:rsid w:val="00056E32"/>
    <w:rsid w:val="00057DA6"/>
    <w:rsid w:val="00060375"/>
    <w:rsid w:val="00060DBC"/>
    <w:rsid w:val="00061323"/>
    <w:rsid w:val="000630B6"/>
    <w:rsid w:val="00063A11"/>
    <w:rsid w:val="0006448C"/>
    <w:rsid w:val="00066240"/>
    <w:rsid w:val="00071403"/>
    <w:rsid w:val="000744D4"/>
    <w:rsid w:val="00075C48"/>
    <w:rsid w:val="000761F7"/>
    <w:rsid w:val="000804ED"/>
    <w:rsid w:val="00080E8E"/>
    <w:rsid w:val="00081F36"/>
    <w:rsid w:val="0008284D"/>
    <w:rsid w:val="00082E41"/>
    <w:rsid w:val="00084837"/>
    <w:rsid w:val="00085A93"/>
    <w:rsid w:val="00086284"/>
    <w:rsid w:val="00086285"/>
    <w:rsid w:val="000870A6"/>
    <w:rsid w:val="0009006D"/>
    <w:rsid w:val="00090428"/>
    <w:rsid w:val="00090747"/>
    <w:rsid w:val="000917D5"/>
    <w:rsid w:val="00091B28"/>
    <w:rsid w:val="00091CA9"/>
    <w:rsid w:val="00091E71"/>
    <w:rsid w:val="00095B26"/>
    <w:rsid w:val="00096947"/>
    <w:rsid w:val="000A243E"/>
    <w:rsid w:val="000A2DF7"/>
    <w:rsid w:val="000A2F13"/>
    <w:rsid w:val="000A3488"/>
    <w:rsid w:val="000A6537"/>
    <w:rsid w:val="000A6EED"/>
    <w:rsid w:val="000A7B3A"/>
    <w:rsid w:val="000A7F0B"/>
    <w:rsid w:val="000B3B85"/>
    <w:rsid w:val="000B3BBC"/>
    <w:rsid w:val="000B454A"/>
    <w:rsid w:val="000B4F67"/>
    <w:rsid w:val="000B5739"/>
    <w:rsid w:val="000B6211"/>
    <w:rsid w:val="000B6BC6"/>
    <w:rsid w:val="000B7078"/>
    <w:rsid w:val="000C1FE4"/>
    <w:rsid w:val="000C2715"/>
    <w:rsid w:val="000C2733"/>
    <w:rsid w:val="000C2B26"/>
    <w:rsid w:val="000C39D7"/>
    <w:rsid w:val="000C3EAD"/>
    <w:rsid w:val="000C5169"/>
    <w:rsid w:val="000D09CA"/>
    <w:rsid w:val="000D0C88"/>
    <w:rsid w:val="000D0D8B"/>
    <w:rsid w:val="000D33B6"/>
    <w:rsid w:val="000D683A"/>
    <w:rsid w:val="000D7921"/>
    <w:rsid w:val="000E167D"/>
    <w:rsid w:val="000E214D"/>
    <w:rsid w:val="000E2B73"/>
    <w:rsid w:val="000E3BFB"/>
    <w:rsid w:val="000E75C5"/>
    <w:rsid w:val="000E7A2A"/>
    <w:rsid w:val="000F0F29"/>
    <w:rsid w:val="000F1647"/>
    <w:rsid w:val="000F46E4"/>
    <w:rsid w:val="000F5970"/>
    <w:rsid w:val="000F7B85"/>
    <w:rsid w:val="00100FCC"/>
    <w:rsid w:val="00101770"/>
    <w:rsid w:val="00101D0D"/>
    <w:rsid w:val="00102BC6"/>
    <w:rsid w:val="001063DF"/>
    <w:rsid w:val="00106D05"/>
    <w:rsid w:val="0011072D"/>
    <w:rsid w:val="00111942"/>
    <w:rsid w:val="00111CAC"/>
    <w:rsid w:val="00112BF3"/>
    <w:rsid w:val="001130B2"/>
    <w:rsid w:val="001132AD"/>
    <w:rsid w:val="00113F17"/>
    <w:rsid w:val="00115949"/>
    <w:rsid w:val="0011612B"/>
    <w:rsid w:val="00116D2C"/>
    <w:rsid w:val="00117A4C"/>
    <w:rsid w:val="0012037D"/>
    <w:rsid w:val="00120BAB"/>
    <w:rsid w:val="00120C3A"/>
    <w:rsid w:val="00121854"/>
    <w:rsid w:val="001230EA"/>
    <w:rsid w:val="00123BFD"/>
    <w:rsid w:val="001242F2"/>
    <w:rsid w:val="00125EAD"/>
    <w:rsid w:val="00126AD6"/>
    <w:rsid w:val="00127727"/>
    <w:rsid w:val="00131590"/>
    <w:rsid w:val="001318B1"/>
    <w:rsid w:val="0013328C"/>
    <w:rsid w:val="00133FE1"/>
    <w:rsid w:val="00134691"/>
    <w:rsid w:val="00136932"/>
    <w:rsid w:val="0014104C"/>
    <w:rsid w:val="001418A1"/>
    <w:rsid w:val="00141D33"/>
    <w:rsid w:val="00143302"/>
    <w:rsid w:val="00144AF9"/>
    <w:rsid w:val="00147CA2"/>
    <w:rsid w:val="00151253"/>
    <w:rsid w:val="00153032"/>
    <w:rsid w:val="00157454"/>
    <w:rsid w:val="001603C4"/>
    <w:rsid w:val="00160869"/>
    <w:rsid w:val="00161D6D"/>
    <w:rsid w:val="00162B3A"/>
    <w:rsid w:val="001634DF"/>
    <w:rsid w:val="001645E7"/>
    <w:rsid w:val="00166403"/>
    <w:rsid w:val="001672F8"/>
    <w:rsid w:val="001705F7"/>
    <w:rsid w:val="00171E3E"/>
    <w:rsid w:val="001737F9"/>
    <w:rsid w:val="001739F3"/>
    <w:rsid w:val="00173F6B"/>
    <w:rsid w:val="00174283"/>
    <w:rsid w:val="001753FB"/>
    <w:rsid w:val="00175587"/>
    <w:rsid w:val="001771BA"/>
    <w:rsid w:val="00181A02"/>
    <w:rsid w:val="00186CB7"/>
    <w:rsid w:val="0019153C"/>
    <w:rsid w:val="00191714"/>
    <w:rsid w:val="001918ED"/>
    <w:rsid w:val="00193927"/>
    <w:rsid w:val="0019429D"/>
    <w:rsid w:val="001A24B6"/>
    <w:rsid w:val="001A4CC8"/>
    <w:rsid w:val="001A60AD"/>
    <w:rsid w:val="001B00F5"/>
    <w:rsid w:val="001B1356"/>
    <w:rsid w:val="001B1B46"/>
    <w:rsid w:val="001B1E0E"/>
    <w:rsid w:val="001B35FB"/>
    <w:rsid w:val="001B3ACE"/>
    <w:rsid w:val="001B4330"/>
    <w:rsid w:val="001B5386"/>
    <w:rsid w:val="001B68AE"/>
    <w:rsid w:val="001B7F58"/>
    <w:rsid w:val="001C10F2"/>
    <w:rsid w:val="001C19FD"/>
    <w:rsid w:val="001C301F"/>
    <w:rsid w:val="001C35EA"/>
    <w:rsid w:val="001C4D2D"/>
    <w:rsid w:val="001C4D9B"/>
    <w:rsid w:val="001C5432"/>
    <w:rsid w:val="001C5434"/>
    <w:rsid w:val="001C573F"/>
    <w:rsid w:val="001C5E75"/>
    <w:rsid w:val="001C652C"/>
    <w:rsid w:val="001D0BBF"/>
    <w:rsid w:val="001D2A2E"/>
    <w:rsid w:val="001D4485"/>
    <w:rsid w:val="001D5247"/>
    <w:rsid w:val="001D5C93"/>
    <w:rsid w:val="001D63B8"/>
    <w:rsid w:val="001E08CA"/>
    <w:rsid w:val="001E25E9"/>
    <w:rsid w:val="001E4658"/>
    <w:rsid w:val="001E6A73"/>
    <w:rsid w:val="001F1E4B"/>
    <w:rsid w:val="001F4567"/>
    <w:rsid w:val="001F7EA4"/>
    <w:rsid w:val="002022BD"/>
    <w:rsid w:val="002023A4"/>
    <w:rsid w:val="002025D7"/>
    <w:rsid w:val="002033B8"/>
    <w:rsid w:val="002053D5"/>
    <w:rsid w:val="00206FA6"/>
    <w:rsid w:val="00212969"/>
    <w:rsid w:val="00212A84"/>
    <w:rsid w:val="00212CB6"/>
    <w:rsid w:val="00213313"/>
    <w:rsid w:val="002139B2"/>
    <w:rsid w:val="002217EF"/>
    <w:rsid w:val="002218C2"/>
    <w:rsid w:val="00223D67"/>
    <w:rsid w:val="002249C8"/>
    <w:rsid w:val="002259C9"/>
    <w:rsid w:val="00226769"/>
    <w:rsid w:val="0023010A"/>
    <w:rsid w:val="00230391"/>
    <w:rsid w:val="00230ADE"/>
    <w:rsid w:val="00234366"/>
    <w:rsid w:val="00236268"/>
    <w:rsid w:val="0023646F"/>
    <w:rsid w:val="00237F91"/>
    <w:rsid w:val="002412CB"/>
    <w:rsid w:val="002429D0"/>
    <w:rsid w:val="0024380D"/>
    <w:rsid w:val="00243E21"/>
    <w:rsid w:val="002451AB"/>
    <w:rsid w:val="00245F84"/>
    <w:rsid w:val="00246F82"/>
    <w:rsid w:val="002509A7"/>
    <w:rsid w:val="002535A1"/>
    <w:rsid w:val="002557C5"/>
    <w:rsid w:val="00256B98"/>
    <w:rsid w:val="002622EA"/>
    <w:rsid w:val="00262628"/>
    <w:rsid w:val="00262CB6"/>
    <w:rsid w:val="0026308A"/>
    <w:rsid w:val="00264B4A"/>
    <w:rsid w:val="00264F35"/>
    <w:rsid w:val="00265D16"/>
    <w:rsid w:val="0026709C"/>
    <w:rsid w:val="002715EB"/>
    <w:rsid w:val="00271F55"/>
    <w:rsid w:val="002721C5"/>
    <w:rsid w:val="00272384"/>
    <w:rsid w:val="002723FA"/>
    <w:rsid w:val="00274B42"/>
    <w:rsid w:val="0027648F"/>
    <w:rsid w:val="002767F4"/>
    <w:rsid w:val="00277288"/>
    <w:rsid w:val="00277C5A"/>
    <w:rsid w:val="00281A0E"/>
    <w:rsid w:val="002821AA"/>
    <w:rsid w:val="00283442"/>
    <w:rsid w:val="00285DFD"/>
    <w:rsid w:val="002868EF"/>
    <w:rsid w:val="00287E6F"/>
    <w:rsid w:val="0029071D"/>
    <w:rsid w:val="00292031"/>
    <w:rsid w:val="002956E4"/>
    <w:rsid w:val="0029582B"/>
    <w:rsid w:val="0029614A"/>
    <w:rsid w:val="00297CEA"/>
    <w:rsid w:val="002A036A"/>
    <w:rsid w:val="002A0715"/>
    <w:rsid w:val="002A13C3"/>
    <w:rsid w:val="002A20A2"/>
    <w:rsid w:val="002A3B65"/>
    <w:rsid w:val="002A3F33"/>
    <w:rsid w:val="002A3FC4"/>
    <w:rsid w:val="002A4195"/>
    <w:rsid w:val="002A56B3"/>
    <w:rsid w:val="002A5E12"/>
    <w:rsid w:val="002A7A39"/>
    <w:rsid w:val="002B0F59"/>
    <w:rsid w:val="002B1843"/>
    <w:rsid w:val="002B4CBB"/>
    <w:rsid w:val="002B4DCF"/>
    <w:rsid w:val="002B5BFD"/>
    <w:rsid w:val="002B6B26"/>
    <w:rsid w:val="002B6C3A"/>
    <w:rsid w:val="002B6E7C"/>
    <w:rsid w:val="002B6E95"/>
    <w:rsid w:val="002B7431"/>
    <w:rsid w:val="002B7667"/>
    <w:rsid w:val="002B7EAE"/>
    <w:rsid w:val="002C143A"/>
    <w:rsid w:val="002C1D27"/>
    <w:rsid w:val="002C4259"/>
    <w:rsid w:val="002C63E7"/>
    <w:rsid w:val="002C672C"/>
    <w:rsid w:val="002C7401"/>
    <w:rsid w:val="002C796E"/>
    <w:rsid w:val="002D2673"/>
    <w:rsid w:val="002D2814"/>
    <w:rsid w:val="002D5DDB"/>
    <w:rsid w:val="002D6E8D"/>
    <w:rsid w:val="002E38C9"/>
    <w:rsid w:val="002E3F60"/>
    <w:rsid w:val="002E415A"/>
    <w:rsid w:val="002E4E87"/>
    <w:rsid w:val="002E68E2"/>
    <w:rsid w:val="002E6B88"/>
    <w:rsid w:val="002E7532"/>
    <w:rsid w:val="002F304C"/>
    <w:rsid w:val="002F3604"/>
    <w:rsid w:val="002F50FA"/>
    <w:rsid w:val="002F58DF"/>
    <w:rsid w:val="002F723C"/>
    <w:rsid w:val="0030215D"/>
    <w:rsid w:val="00305BE4"/>
    <w:rsid w:val="00306691"/>
    <w:rsid w:val="003106F8"/>
    <w:rsid w:val="00310B46"/>
    <w:rsid w:val="00312730"/>
    <w:rsid w:val="003130A5"/>
    <w:rsid w:val="00313D21"/>
    <w:rsid w:val="00314E75"/>
    <w:rsid w:val="00315954"/>
    <w:rsid w:val="00315EDB"/>
    <w:rsid w:val="00317372"/>
    <w:rsid w:val="003177A7"/>
    <w:rsid w:val="003204FF"/>
    <w:rsid w:val="00325468"/>
    <w:rsid w:val="00326FB8"/>
    <w:rsid w:val="00330737"/>
    <w:rsid w:val="00330C51"/>
    <w:rsid w:val="003341A4"/>
    <w:rsid w:val="00334612"/>
    <w:rsid w:val="003371D6"/>
    <w:rsid w:val="00340464"/>
    <w:rsid w:val="003417BB"/>
    <w:rsid w:val="00341B35"/>
    <w:rsid w:val="00342523"/>
    <w:rsid w:val="00343346"/>
    <w:rsid w:val="0034462E"/>
    <w:rsid w:val="00344F18"/>
    <w:rsid w:val="00345914"/>
    <w:rsid w:val="00345C49"/>
    <w:rsid w:val="00346526"/>
    <w:rsid w:val="003475D2"/>
    <w:rsid w:val="003515D0"/>
    <w:rsid w:val="00352657"/>
    <w:rsid w:val="00352983"/>
    <w:rsid w:val="00352F97"/>
    <w:rsid w:val="003531B0"/>
    <w:rsid w:val="003536EB"/>
    <w:rsid w:val="0035474D"/>
    <w:rsid w:val="00356C9F"/>
    <w:rsid w:val="00357DDD"/>
    <w:rsid w:val="003603AD"/>
    <w:rsid w:val="003618E1"/>
    <w:rsid w:val="003623F5"/>
    <w:rsid w:val="0036297D"/>
    <w:rsid w:val="00363862"/>
    <w:rsid w:val="00364687"/>
    <w:rsid w:val="00365616"/>
    <w:rsid w:val="00366311"/>
    <w:rsid w:val="00366FA6"/>
    <w:rsid w:val="00371679"/>
    <w:rsid w:val="00371984"/>
    <w:rsid w:val="00372437"/>
    <w:rsid w:val="003725F9"/>
    <w:rsid w:val="00373B5D"/>
    <w:rsid w:val="00374078"/>
    <w:rsid w:val="00377662"/>
    <w:rsid w:val="00380599"/>
    <w:rsid w:val="003838F8"/>
    <w:rsid w:val="0038395E"/>
    <w:rsid w:val="00386429"/>
    <w:rsid w:val="0038652D"/>
    <w:rsid w:val="00387D1F"/>
    <w:rsid w:val="00394E18"/>
    <w:rsid w:val="0039574D"/>
    <w:rsid w:val="00395D59"/>
    <w:rsid w:val="003966AF"/>
    <w:rsid w:val="00396849"/>
    <w:rsid w:val="003A1749"/>
    <w:rsid w:val="003A1751"/>
    <w:rsid w:val="003A1CA9"/>
    <w:rsid w:val="003A3449"/>
    <w:rsid w:val="003A58AA"/>
    <w:rsid w:val="003A5DFF"/>
    <w:rsid w:val="003A6182"/>
    <w:rsid w:val="003A726A"/>
    <w:rsid w:val="003A7412"/>
    <w:rsid w:val="003A7D73"/>
    <w:rsid w:val="003A7E92"/>
    <w:rsid w:val="003B0A38"/>
    <w:rsid w:val="003B5C41"/>
    <w:rsid w:val="003C04E5"/>
    <w:rsid w:val="003C3E09"/>
    <w:rsid w:val="003C67AD"/>
    <w:rsid w:val="003C6C7F"/>
    <w:rsid w:val="003C6DBE"/>
    <w:rsid w:val="003D0008"/>
    <w:rsid w:val="003D087C"/>
    <w:rsid w:val="003D0F94"/>
    <w:rsid w:val="003D0FD1"/>
    <w:rsid w:val="003D13A6"/>
    <w:rsid w:val="003D3A20"/>
    <w:rsid w:val="003D5879"/>
    <w:rsid w:val="003D6E07"/>
    <w:rsid w:val="003D7FFC"/>
    <w:rsid w:val="003E1BD7"/>
    <w:rsid w:val="003E2447"/>
    <w:rsid w:val="003E256F"/>
    <w:rsid w:val="003E2D0D"/>
    <w:rsid w:val="003E2D48"/>
    <w:rsid w:val="003E33B1"/>
    <w:rsid w:val="003E7A59"/>
    <w:rsid w:val="003F250C"/>
    <w:rsid w:val="003F2554"/>
    <w:rsid w:val="003F768D"/>
    <w:rsid w:val="004004B3"/>
    <w:rsid w:val="004005D6"/>
    <w:rsid w:val="00401FD1"/>
    <w:rsid w:val="00402B62"/>
    <w:rsid w:val="00403BA0"/>
    <w:rsid w:val="00406A7A"/>
    <w:rsid w:val="00407988"/>
    <w:rsid w:val="00407FF4"/>
    <w:rsid w:val="00411516"/>
    <w:rsid w:val="0041279C"/>
    <w:rsid w:val="00412C2B"/>
    <w:rsid w:val="004132EA"/>
    <w:rsid w:val="0041346C"/>
    <w:rsid w:val="00413CE0"/>
    <w:rsid w:val="00413D43"/>
    <w:rsid w:val="00416118"/>
    <w:rsid w:val="00416C0B"/>
    <w:rsid w:val="00416F79"/>
    <w:rsid w:val="00420DE2"/>
    <w:rsid w:val="00424145"/>
    <w:rsid w:val="004251F9"/>
    <w:rsid w:val="004261C8"/>
    <w:rsid w:val="00431C48"/>
    <w:rsid w:val="004327F5"/>
    <w:rsid w:val="0043403F"/>
    <w:rsid w:val="0043461E"/>
    <w:rsid w:val="00434C62"/>
    <w:rsid w:val="004374EA"/>
    <w:rsid w:val="004411C7"/>
    <w:rsid w:val="004428A1"/>
    <w:rsid w:val="00442C41"/>
    <w:rsid w:val="00442F04"/>
    <w:rsid w:val="00444904"/>
    <w:rsid w:val="0044546D"/>
    <w:rsid w:val="0044636E"/>
    <w:rsid w:val="00447C6C"/>
    <w:rsid w:val="00452861"/>
    <w:rsid w:val="00453765"/>
    <w:rsid w:val="00453BC2"/>
    <w:rsid w:val="00454586"/>
    <w:rsid w:val="004556A3"/>
    <w:rsid w:val="00457414"/>
    <w:rsid w:val="00460505"/>
    <w:rsid w:val="00461077"/>
    <w:rsid w:val="00461B05"/>
    <w:rsid w:val="00461DE4"/>
    <w:rsid w:val="00462BA9"/>
    <w:rsid w:val="00467271"/>
    <w:rsid w:val="00470EAF"/>
    <w:rsid w:val="00471E9A"/>
    <w:rsid w:val="00473061"/>
    <w:rsid w:val="004742F4"/>
    <w:rsid w:val="00476BD4"/>
    <w:rsid w:val="00477D39"/>
    <w:rsid w:val="00480FBC"/>
    <w:rsid w:val="00484518"/>
    <w:rsid w:val="00485C0A"/>
    <w:rsid w:val="00485E9D"/>
    <w:rsid w:val="004907CA"/>
    <w:rsid w:val="00490FBF"/>
    <w:rsid w:val="0049354D"/>
    <w:rsid w:val="004946D6"/>
    <w:rsid w:val="0049725F"/>
    <w:rsid w:val="004A488E"/>
    <w:rsid w:val="004A666D"/>
    <w:rsid w:val="004A68A6"/>
    <w:rsid w:val="004A692C"/>
    <w:rsid w:val="004B2C5C"/>
    <w:rsid w:val="004B3092"/>
    <w:rsid w:val="004B787C"/>
    <w:rsid w:val="004C0E34"/>
    <w:rsid w:val="004C1A8E"/>
    <w:rsid w:val="004C2961"/>
    <w:rsid w:val="004C521E"/>
    <w:rsid w:val="004C5F9A"/>
    <w:rsid w:val="004C656B"/>
    <w:rsid w:val="004C6E3A"/>
    <w:rsid w:val="004C774C"/>
    <w:rsid w:val="004C77BA"/>
    <w:rsid w:val="004D0C4F"/>
    <w:rsid w:val="004D216F"/>
    <w:rsid w:val="004D357A"/>
    <w:rsid w:val="004D4518"/>
    <w:rsid w:val="004D5DCA"/>
    <w:rsid w:val="004D79C7"/>
    <w:rsid w:val="004E0C5F"/>
    <w:rsid w:val="004E0EE4"/>
    <w:rsid w:val="004E16D6"/>
    <w:rsid w:val="004E4928"/>
    <w:rsid w:val="004F0D04"/>
    <w:rsid w:val="004F2E89"/>
    <w:rsid w:val="004F34A4"/>
    <w:rsid w:val="004F3CF3"/>
    <w:rsid w:val="004F5137"/>
    <w:rsid w:val="004F605E"/>
    <w:rsid w:val="004F7ABC"/>
    <w:rsid w:val="00500CF6"/>
    <w:rsid w:val="00502174"/>
    <w:rsid w:val="00504C30"/>
    <w:rsid w:val="00505386"/>
    <w:rsid w:val="00505677"/>
    <w:rsid w:val="00505840"/>
    <w:rsid w:val="00506B01"/>
    <w:rsid w:val="00506E78"/>
    <w:rsid w:val="005074AF"/>
    <w:rsid w:val="00510BE1"/>
    <w:rsid w:val="0051207F"/>
    <w:rsid w:val="00513993"/>
    <w:rsid w:val="00513B29"/>
    <w:rsid w:val="005161DF"/>
    <w:rsid w:val="0051722B"/>
    <w:rsid w:val="005210D4"/>
    <w:rsid w:val="00525417"/>
    <w:rsid w:val="005269C8"/>
    <w:rsid w:val="00526BD3"/>
    <w:rsid w:val="00530537"/>
    <w:rsid w:val="005308A3"/>
    <w:rsid w:val="00531601"/>
    <w:rsid w:val="00531662"/>
    <w:rsid w:val="00532580"/>
    <w:rsid w:val="005343F7"/>
    <w:rsid w:val="005362AB"/>
    <w:rsid w:val="005363B1"/>
    <w:rsid w:val="00536990"/>
    <w:rsid w:val="0053742C"/>
    <w:rsid w:val="00541F48"/>
    <w:rsid w:val="005423FA"/>
    <w:rsid w:val="005436FC"/>
    <w:rsid w:val="005447DA"/>
    <w:rsid w:val="00544E9F"/>
    <w:rsid w:val="0054544A"/>
    <w:rsid w:val="005500C1"/>
    <w:rsid w:val="0055039C"/>
    <w:rsid w:val="005508DA"/>
    <w:rsid w:val="00550EBB"/>
    <w:rsid w:val="0055416D"/>
    <w:rsid w:val="00555E34"/>
    <w:rsid w:val="00555E46"/>
    <w:rsid w:val="005563CA"/>
    <w:rsid w:val="00556CB9"/>
    <w:rsid w:val="00556D96"/>
    <w:rsid w:val="00560C73"/>
    <w:rsid w:val="00560D9D"/>
    <w:rsid w:val="00561EFB"/>
    <w:rsid w:val="00563951"/>
    <w:rsid w:val="005639A2"/>
    <w:rsid w:val="00563F47"/>
    <w:rsid w:val="00564296"/>
    <w:rsid w:val="00566901"/>
    <w:rsid w:val="00566BC6"/>
    <w:rsid w:val="00566CF0"/>
    <w:rsid w:val="00567B41"/>
    <w:rsid w:val="005724B3"/>
    <w:rsid w:val="00573378"/>
    <w:rsid w:val="0057394D"/>
    <w:rsid w:val="00575D32"/>
    <w:rsid w:val="005769B6"/>
    <w:rsid w:val="00576F9C"/>
    <w:rsid w:val="00577285"/>
    <w:rsid w:val="00581396"/>
    <w:rsid w:val="00582009"/>
    <w:rsid w:val="00582416"/>
    <w:rsid w:val="00585349"/>
    <w:rsid w:val="0058613A"/>
    <w:rsid w:val="005876AC"/>
    <w:rsid w:val="00590560"/>
    <w:rsid w:val="00591B7F"/>
    <w:rsid w:val="0059231E"/>
    <w:rsid w:val="00593983"/>
    <w:rsid w:val="005959D2"/>
    <w:rsid w:val="00596F22"/>
    <w:rsid w:val="005A0162"/>
    <w:rsid w:val="005A08CF"/>
    <w:rsid w:val="005A1FDF"/>
    <w:rsid w:val="005A3791"/>
    <w:rsid w:val="005A5A6E"/>
    <w:rsid w:val="005A7AE2"/>
    <w:rsid w:val="005B14EC"/>
    <w:rsid w:val="005B16A5"/>
    <w:rsid w:val="005B32E6"/>
    <w:rsid w:val="005B44B4"/>
    <w:rsid w:val="005B4857"/>
    <w:rsid w:val="005B532A"/>
    <w:rsid w:val="005B5498"/>
    <w:rsid w:val="005B7FFC"/>
    <w:rsid w:val="005C0A97"/>
    <w:rsid w:val="005C0D1C"/>
    <w:rsid w:val="005C1219"/>
    <w:rsid w:val="005C1AA1"/>
    <w:rsid w:val="005C27CF"/>
    <w:rsid w:val="005C346D"/>
    <w:rsid w:val="005C35FF"/>
    <w:rsid w:val="005C380E"/>
    <w:rsid w:val="005C4336"/>
    <w:rsid w:val="005C693A"/>
    <w:rsid w:val="005C7152"/>
    <w:rsid w:val="005C7852"/>
    <w:rsid w:val="005D1381"/>
    <w:rsid w:val="005D1584"/>
    <w:rsid w:val="005D235A"/>
    <w:rsid w:val="005D2BD2"/>
    <w:rsid w:val="005D4AC6"/>
    <w:rsid w:val="005D6360"/>
    <w:rsid w:val="005D6B1C"/>
    <w:rsid w:val="005D7321"/>
    <w:rsid w:val="005D7D04"/>
    <w:rsid w:val="005E0536"/>
    <w:rsid w:val="005E33BB"/>
    <w:rsid w:val="005E3A48"/>
    <w:rsid w:val="005E45EC"/>
    <w:rsid w:val="005E580E"/>
    <w:rsid w:val="005E5A14"/>
    <w:rsid w:val="005E61AF"/>
    <w:rsid w:val="005E620E"/>
    <w:rsid w:val="005E6BBF"/>
    <w:rsid w:val="005E6CF0"/>
    <w:rsid w:val="005E7991"/>
    <w:rsid w:val="005F18E6"/>
    <w:rsid w:val="005F2183"/>
    <w:rsid w:val="005F2972"/>
    <w:rsid w:val="005F3615"/>
    <w:rsid w:val="005F7CFE"/>
    <w:rsid w:val="00601542"/>
    <w:rsid w:val="0060185F"/>
    <w:rsid w:val="0060225B"/>
    <w:rsid w:val="00602B27"/>
    <w:rsid w:val="00606685"/>
    <w:rsid w:val="006067CD"/>
    <w:rsid w:val="00607887"/>
    <w:rsid w:val="00607996"/>
    <w:rsid w:val="006104FF"/>
    <w:rsid w:val="00612722"/>
    <w:rsid w:val="006136E9"/>
    <w:rsid w:val="006139DE"/>
    <w:rsid w:val="00613FC5"/>
    <w:rsid w:val="00615967"/>
    <w:rsid w:val="00616CE5"/>
    <w:rsid w:val="00617088"/>
    <w:rsid w:val="006211AF"/>
    <w:rsid w:val="00621D60"/>
    <w:rsid w:val="0062233F"/>
    <w:rsid w:val="006247D7"/>
    <w:rsid w:val="006249CB"/>
    <w:rsid w:val="00625020"/>
    <w:rsid w:val="006254FD"/>
    <w:rsid w:val="00626568"/>
    <w:rsid w:val="006317A4"/>
    <w:rsid w:val="00631CFA"/>
    <w:rsid w:val="00631E44"/>
    <w:rsid w:val="0063225A"/>
    <w:rsid w:val="00641447"/>
    <w:rsid w:val="00644FDA"/>
    <w:rsid w:val="0064507C"/>
    <w:rsid w:val="00646091"/>
    <w:rsid w:val="00647B4F"/>
    <w:rsid w:val="00647BE9"/>
    <w:rsid w:val="00647E45"/>
    <w:rsid w:val="006500CF"/>
    <w:rsid w:val="0065043D"/>
    <w:rsid w:val="00650924"/>
    <w:rsid w:val="00651431"/>
    <w:rsid w:val="00651433"/>
    <w:rsid w:val="0065363C"/>
    <w:rsid w:val="00654658"/>
    <w:rsid w:val="00655337"/>
    <w:rsid w:val="00655C68"/>
    <w:rsid w:val="00657D65"/>
    <w:rsid w:val="00660F2B"/>
    <w:rsid w:val="00661E37"/>
    <w:rsid w:val="00664740"/>
    <w:rsid w:val="00664EE9"/>
    <w:rsid w:val="00664F16"/>
    <w:rsid w:val="00670F37"/>
    <w:rsid w:val="00671B5E"/>
    <w:rsid w:val="00672754"/>
    <w:rsid w:val="00673262"/>
    <w:rsid w:val="0067374C"/>
    <w:rsid w:val="006738CD"/>
    <w:rsid w:val="006748C9"/>
    <w:rsid w:val="00675E62"/>
    <w:rsid w:val="00676311"/>
    <w:rsid w:val="0067681C"/>
    <w:rsid w:val="00677547"/>
    <w:rsid w:val="00682029"/>
    <w:rsid w:val="0068255E"/>
    <w:rsid w:val="0068626B"/>
    <w:rsid w:val="006878CA"/>
    <w:rsid w:val="006956C8"/>
    <w:rsid w:val="006956F7"/>
    <w:rsid w:val="00695A57"/>
    <w:rsid w:val="006A0B56"/>
    <w:rsid w:val="006A0E3D"/>
    <w:rsid w:val="006A2E01"/>
    <w:rsid w:val="006A35F6"/>
    <w:rsid w:val="006A3811"/>
    <w:rsid w:val="006A3B23"/>
    <w:rsid w:val="006A5005"/>
    <w:rsid w:val="006A594E"/>
    <w:rsid w:val="006A664A"/>
    <w:rsid w:val="006A758B"/>
    <w:rsid w:val="006A789D"/>
    <w:rsid w:val="006B0992"/>
    <w:rsid w:val="006B32D6"/>
    <w:rsid w:val="006B42EC"/>
    <w:rsid w:val="006B6B21"/>
    <w:rsid w:val="006B7FA7"/>
    <w:rsid w:val="006C2F23"/>
    <w:rsid w:val="006C3938"/>
    <w:rsid w:val="006C4DB2"/>
    <w:rsid w:val="006C5771"/>
    <w:rsid w:val="006C60F1"/>
    <w:rsid w:val="006C6326"/>
    <w:rsid w:val="006C6DAC"/>
    <w:rsid w:val="006C76DC"/>
    <w:rsid w:val="006D0B85"/>
    <w:rsid w:val="006D262C"/>
    <w:rsid w:val="006D3886"/>
    <w:rsid w:val="006D64BC"/>
    <w:rsid w:val="006D768B"/>
    <w:rsid w:val="006E054B"/>
    <w:rsid w:val="006E1797"/>
    <w:rsid w:val="006E2781"/>
    <w:rsid w:val="006E3D88"/>
    <w:rsid w:val="006E4562"/>
    <w:rsid w:val="006E7C8B"/>
    <w:rsid w:val="006F09DC"/>
    <w:rsid w:val="006F0A71"/>
    <w:rsid w:val="006F4EBE"/>
    <w:rsid w:val="006F5553"/>
    <w:rsid w:val="007003A9"/>
    <w:rsid w:val="007003E8"/>
    <w:rsid w:val="00700509"/>
    <w:rsid w:val="00700B18"/>
    <w:rsid w:val="00704595"/>
    <w:rsid w:val="00706787"/>
    <w:rsid w:val="007067C9"/>
    <w:rsid w:val="0070697C"/>
    <w:rsid w:val="00706B69"/>
    <w:rsid w:val="00707908"/>
    <w:rsid w:val="007118B2"/>
    <w:rsid w:val="00712568"/>
    <w:rsid w:val="00712DB7"/>
    <w:rsid w:val="00713777"/>
    <w:rsid w:val="00714B51"/>
    <w:rsid w:val="00714B8D"/>
    <w:rsid w:val="00715E90"/>
    <w:rsid w:val="00717659"/>
    <w:rsid w:val="007207D3"/>
    <w:rsid w:val="0072112A"/>
    <w:rsid w:val="007237C1"/>
    <w:rsid w:val="00724038"/>
    <w:rsid w:val="0072547A"/>
    <w:rsid w:val="0072731A"/>
    <w:rsid w:val="007309B7"/>
    <w:rsid w:val="0073196D"/>
    <w:rsid w:val="00732B8B"/>
    <w:rsid w:val="00734AFA"/>
    <w:rsid w:val="00736486"/>
    <w:rsid w:val="00740C3A"/>
    <w:rsid w:val="007418B0"/>
    <w:rsid w:val="00743D5B"/>
    <w:rsid w:val="00744E52"/>
    <w:rsid w:val="007451C1"/>
    <w:rsid w:val="00746629"/>
    <w:rsid w:val="00746F8C"/>
    <w:rsid w:val="00747C3F"/>
    <w:rsid w:val="00752F22"/>
    <w:rsid w:val="00753DEA"/>
    <w:rsid w:val="00754A90"/>
    <w:rsid w:val="007553D1"/>
    <w:rsid w:val="00755B09"/>
    <w:rsid w:val="007570B4"/>
    <w:rsid w:val="00760FF7"/>
    <w:rsid w:val="007650B7"/>
    <w:rsid w:val="00765E54"/>
    <w:rsid w:val="00766F8E"/>
    <w:rsid w:val="00770C0E"/>
    <w:rsid w:val="00770F2A"/>
    <w:rsid w:val="00770F2E"/>
    <w:rsid w:val="0077170C"/>
    <w:rsid w:val="007723C7"/>
    <w:rsid w:val="00772CF1"/>
    <w:rsid w:val="00775300"/>
    <w:rsid w:val="00777D17"/>
    <w:rsid w:val="007801B3"/>
    <w:rsid w:val="00780A68"/>
    <w:rsid w:val="00782197"/>
    <w:rsid w:val="007827C8"/>
    <w:rsid w:val="00782B89"/>
    <w:rsid w:val="007835E8"/>
    <w:rsid w:val="00783963"/>
    <w:rsid w:val="00784D0E"/>
    <w:rsid w:val="00785625"/>
    <w:rsid w:val="00786050"/>
    <w:rsid w:val="00793450"/>
    <w:rsid w:val="00794F8E"/>
    <w:rsid w:val="0079686B"/>
    <w:rsid w:val="00797B84"/>
    <w:rsid w:val="007A10B4"/>
    <w:rsid w:val="007A4E55"/>
    <w:rsid w:val="007A58AD"/>
    <w:rsid w:val="007A5DCD"/>
    <w:rsid w:val="007A7DE7"/>
    <w:rsid w:val="007B19BE"/>
    <w:rsid w:val="007B3A0A"/>
    <w:rsid w:val="007B4320"/>
    <w:rsid w:val="007B4749"/>
    <w:rsid w:val="007B4B0B"/>
    <w:rsid w:val="007B72D8"/>
    <w:rsid w:val="007B7807"/>
    <w:rsid w:val="007B7DC9"/>
    <w:rsid w:val="007C03DA"/>
    <w:rsid w:val="007C12DF"/>
    <w:rsid w:val="007C20D6"/>
    <w:rsid w:val="007C2D30"/>
    <w:rsid w:val="007C4DB1"/>
    <w:rsid w:val="007C5BAB"/>
    <w:rsid w:val="007C6844"/>
    <w:rsid w:val="007C6944"/>
    <w:rsid w:val="007C6FAC"/>
    <w:rsid w:val="007D15CA"/>
    <w:rsid w:val="007D504D"/>
    <w:rsid w:val="007D6D87"/>
    <w:rsid w:val="007D6DCF"/>
    <w:rsid w:val="007D6ECA"/>
    <w:rsid w:val="007D7291"/>
    <w:rsid w:val="007E08D8"/>
    <w:rsid w:val="007E1729"/>
    <w:rsid w:val="007E31D0"/>
    <w:rsid w:val="007E36EC"/>
    <w:rsid w:val="007E5A5E"/>
    <w:rsid w:val="007E6AF3"/>
    <w:rsid w:val="007E769E"/>
    <w:rsid w:val="007E7C35"/>
    <w:rsid w:val="007F1AF5"/>
    <w:rsid w:val="007F37F3"/>
    <w:rsid w:val="007F6237"/>
    <w:rsid w:val="007F7543"/>
    <w:rsid w:val="007F79AE"/>
    <w:rsid w:val="00800BB5"/>
    <w:rsid w:val="0080200F"/>
    <w:rsid w:val="00804FEC"/>
    <w:rsid w:val="00806364"/>
    <w:rsid w:val="00806B12"/>
    <w:rsid w:val="00812709"/>
    <w:rsid w:val="00812B93"/>
    <w:rsid w:val="00812D72"/>
    <w:rsid w:val="008143B4"/>
    <w:rsid w:val="0081443B"/>
    <w:rsid w:val="00814566"/>
    <w:rsid w:val="00817D63"/>
    <w:rsid w:val="0082008D"/>
    <w:rsid w:val="00821710"/>
    <w:rsid w:val="00822121"/>
    <w:rsid w:val="008278CC"/>
    <w:rsid w:val="00827E44"/>
    <w:rsid w:val="00830974"/>
    <w:rsid w:val="00830E88"/>
    <w:rsid w:val="00831091"/>
    <w:rsid w:val="008317C9"/>
    <w:rsid w:val="00831AEC"/>
    <w:rsid w:val="00833AEA"/>
    <w:rsid w:val="00834CD0"/>
    <w:rsid w:val="00835817"/>
    <w:rsid w:val="00835908"/>
    <w:rsid w:val="00840F84"/>
    <w:rsid w:val="0084266F"/>
    <w:rsid w:val="00843B74"/>
    <w:rsid w:val="00843ED9"/>
    <w:rsid w:val="00844E0C"/>
    <w:rsid w:val="00846C35"/>
    <w:rsid w:val="0084724B"/>
    <w:rsid w:val="00847624"/>
    <w:rsid w:val="0084785D"/>
    <w:rsid w:val="00850E4E"/>
    <w:rsid w:val="00851FB5"/>
    <w:rsid w:val="00852CA9"/>
    <w:rsid w:val="00852E71"/>
    <w:rsid w:val="008564F7"/>
    <w:rsid w:val="0085798E"/>
    <w:rsid w:val="008611D4"/>
    <w:rsid w:val="00861E4E"/>
    <w:rsid w:val="008637CC"/>
    <w:rsid w:val="00864774"/>
    <w:rsid w:val="0086488E"/>
    <w:rsid w:val="00866E0A"/>
    <w:rsid w:val="00867DB1"/>
    <w:rsid w:val="00871E78"/>
    <w:rsid w:val="0087239F"/>
    <w:rsid w:val="008750D2"/>
    <w:rsid w:val="0087548B"/>
    <w:rsid w:val="008805FE"/>
    <w:rsid w:val="008816C0"/>
    <w:rsid w:val="008835D1"/>
    <w:rsid w:val="008839E8"/>
    <w:rsid w:val="008845CC"/>
    <w:rsid w:val="00884986"/>
    <w:rsid w:val="00885366"/>
    <w:rsid w:val="0088586F"/>
    <w:rsid w:val="00885CE7"/>
    <w:rsid w:val="00893ED5"/>
    <w:rsid w:val="0089432B"/>
    <w:rsid w:val="00895EF8"/>
    <w:rsid w:val="00896022"/>
    <w:rsid w:val="00897BF0"/>
    <w:rsid w:val="008A0850"/>
    <w:rsid w:val="008A0B40"/>
    <w:rsid w:val="008A2433"/>
    <w:rsid w:val="008A2AEC"/>
    <w:rsid w:val="008A6D32"/>
    <w:rsid w:val="008B001C"/>
    <w:rsid w:val="008B1FA5"/>
    <w:rsid w:val="008B5D82"/>
    <w:rsid w:val="008C0C00"/>
    <w:rsid w:val="008C0D29"/>
    <w:rsid w:val="008C2132"/>
    <w:rsid w:val="008C2A5E"/>
    <w:rsid w:val="008C30D7"/>
    <w:rsid w:val="008C3C4F"/>
    <w:rsid w:val="008C5106"/>
    <w:rsid w:val="008C635D"/>
    <w:rsid w:val="008D0E55"/>
    <w:rsid w:val="008D1F8A"/>
    <w:rsid w:val="008D2121"/>
    <w:rsid w:val="008D518E"/>
    <w:rsid w:val="008D66BF"/>
    <w:rsid w:val="008D68FF"/>
    <w:rsid w:val="008E11E6"/>
    <w:rsid w:val="008E1586"/>
    <w:rsid w:val="008E278D"/>
    <w:rsid w:val="008E28AE"/>
    <w:rsid w:val="008E2A6A"/>
    <w:rsid w:val="008E2EFC"/>
    <w:rsid w:val="008E3303"/>
    <w:rsid w:val="008E3FC3"/>
    <w:rsid w:val="008E52DC"/>
    <w:rsid w:val="008E5590"/>
    <w:rsid w:val="008F0E2E"/>
    <w:rsid w:val="008F2B04"/>
    <w:rsid w:val="008F34F8"/>
    <w:rsid w:val="008F69EB"/>
    <w:rsid w:val="008F77E7"/>
    <w:rsid w:val="009023BF"/>
    <w:rsid w:val="009037C1"/>
    <w:rsid w:val="00905409"/>
    <w:rsid w:val="00905661"/>
    <w:rsid w:val="009064D4"/>
    <w:rsid w:val="009065AC"/>
    <w:rsid w:val="0090744E"/>
    <w:rsid w:val="009077FA"/>
    <w:rsid w:val="009078C0"/>
    <w:rsid w:val="00907BE1"/>
    <w:rsid w:val="00907DC7"/>
    <w:rsid w:val="0091644A"/>
    <w:rsid w:val="00916741"/>
    <w:rsid w:val="0092180E"/>
    <w:rsid w:val="00924857"/>
    <w:rsid w:val="009249BF"/>
    <w:rsid w:val="00926503"/>
    <w:rsid w:val="009303D8"/>
    <w:rsid w:val="009322DF"/>
    <w:rsid w:val="00932A35"/>
    <w:rsid w:val="00933F21"/>
    <w:rsid w:val="00934E30"/>
    <w:rsid w:val="0093626E"/>
    <w:rsid w:val="00937FF8"/>
    <w:rsid w:val="0094089F"/>
    <w:rsid w:val="00940FE6"/>
    <w:rsid w:val="0094184F"/>
    <w:rsid w:val="00943192"/>
    <w:rsid w:val="00943A59"/>
    <w:rsid w:val="00946650"/>
    <w:rsid w:val="009476E7"/>
    <w:rsid w:val="00947F04"/>
    <w:rsid w:val="00952E75"/>
    <w:rsid w:val="0095432E"/>
    <w:rsid w:val="00962115"/>
    <w:rsid w:val="009627E4"/>
    <w:rsid w:val="00963C64"/>
    <w:rsid w:val="00964F1C"/>
    <w:rsid w:val="009656E0"/>
    <w:rsid w:val="00966CE4"/>
    <w:rsid w:val="009670C8"/>
    <w:rsid w:val="00967E59"/>
    <w:rsid w:val="0097021A"/>
    <w:rsid w:val="00970B7D"/>
    <w:rsid w:val="0097192F"/>
    <w:rsid w:val="00974F56"/>
    <w:rsid w:val="00976154"/>
    <w:rsid w:val="0097632F"/>
    <w:rsid w:val="00977FCA"/>
    <w:rsid w:val="00980BE3"/>
    <w:rsid w:val="0098320F"/>
    <w:rsid w:val="00983D34"/>
    <w:rsid w:val="009843B9"/>
    <w:rsid w:val="009847C2"/>
    <w:rsid w:val="00985A93"/>
    <w:rsid w:val="0098705D"/>
    <w:rsid w:val="0098785C"/>
    <w:rsid w:val="00990A31"/>
    <w:rsid w:val="009921F1"/>
    <w:rsid w:val="009937FB"/>
    <w:rsid w:val="00993F49"/>
    <w:rsid w:val="00994EC6"/>
    <w:rsid w:val="00995DB8"/>
    <w:rsid w:val="009A01C3"/>
    <w:rsid w:val="009A0CAE"/>
    <w:rsid w:val="009A0F23"/>
    <w:rsid w:val="009A1201"/>
    <w:rsid w:val="009A20BE"/>
    <w:rsid w:val="009A252F"/>
    <w:rsid w:val="009A3A3A"/>
    <w:rsid w:val="009A7F3D"/>
    <w:rsid w:val="009B425A"/>
    <w:rsid w:val="009C04C3"/>
    <w:rsid w:val="009C0BA9"/>
    <w:rsid w:val="009C0EE3"/>
    <w:rsid w:val="009C0FA8"/>
    <w:rsid w:val="009C1CD0"/>
    <w:rsid w:val="009C4E76"/>
    <w:rsid w:val="009C566C"/>
    <w:rsid w:val="009C5C6F"/>
    <w:rsid w:val="009C6BD2"/>
    <w:rsid w:val="009D1A97"/>
    <w:rsid w:val="009D4F02"/>
    <w:rsid w:val="009D5BC5"/>
    <w:rsid w:val="009D5D84"/>
    <w:rsid w:val="009E01C6"/>
    <w:rsid w:val="009E3474"/>
    <w:rsid w:val="009E3A81"/>
    <w:rsid w:val="009E52EA"/>
    <w:rsid w:val="009E63C0"/>
    <w:rsid w:val="009E7E4F"/>
    <w:rsid w:val="009F0B74"/>
    <w:rsid w:val="009F1A23"/>
    <w:rsid w:val="009F287C"/>
    <w:rsid w:val="009F368C"/>
    <w:rsid w:val="009F4753"/>
    <w:rsid w:val="009F5CA2"/>
    <w:rsid w:val="009F6ECD"/>
    <w:rsid w:val="009F7EC7"/>
    <w:rsid w:val="00A01885"/>
    <w:rsid w:val="00A04032"/>
    <w:rsid w:val="00A04494"/>
    <w:rsid w:val="00A06223"/>
    <w:rsid w:val="00A10307"/>
    <w:rsid w:val="00A11895"/>
    <w:rsid w:val="00A1270B"/>
    <w:rsid w:val="00A144C5"/>
    <w:rsid w:val="00A163CC"/>
    <w:rsid w:val="00A205C1"/>
    <w:rsid w:val="00A208BE"/>
    <w:rsid w:val="00A2229B"/>
    <w:rsid w:val="00A22950"/>
    <w:rsid w:val="00A23771"/>
    <w:rsid w:val="00A24218"/>
    <w:rsid w:val="00A242F8"/>
    <w:rsid w:val="00A267C2"/>
    <w:rsid w:val="00A310A4"/>
    <w:rsid w:val="00A32B25"/>
    <w:rsid w:val="00A32DF5"/>
    <w:rsid w:val="00A33919"/>
    <w:rsid w:val="00A34C56"/>
    <w:rsid w:val="00A362C5"/>
    <w:rsid w:val="00A37BF7"/>
    <w:rsid w:val="00A4038A"/>
    <w:rsid w:val="00A407F0"/>
    <w:rsid w:val="00A40D4F"/>
    <w:rsid w:val="00A442E3"/>
    <w:rsid w:val="00A446CE"/>
    <w:rsid w:val="00A460EF"/>
    <w:rsid w:val="00A4629B"/>
    <w:rsid w:val="00A46F68"/>
    <w:rsid w:val="00A46FC5"/>
    <w:rsid w:val="00A50FC2"/>
    <w:rsid w:val="00A51E49"/>
    <w:rsid w:val="00A53262"/>
    <w:rsid w:val="00A54507"/>
    <w:rsid w:val="00A546CD"/>
    <w:rsid w:val="00A55E34"/>
    <w:rsid w:val="00A5775F"/>
    <w:rsid w:val="00A6144F"/>
    <w:rsid w:val="00A63A9D"/>
    <w:rsid w:val="00A651B6"/>
    <w:rsid w:val="00A6592A"/>
    <w:rsid w:val="00A67E7C"/>
    <w:rsid w:val="00A72D29"/>
    <w:rsid w:val="00A73ED2"/>
    <w:rsid w:val="00A75618"/>
    <w:rsid w:val="00A77BED"/>
    <w:rsid w:val="00A81172"/>
    <w:rsid w:val="00A81458"/>
    <w:rsid w:val="00A8298F"/>
    <w:rsid w:val="00A8312A"/>
    <w:rsid w:val="00A83B57"/>
    <w:rsid w:val="00A8407D"/>
    <w:rsid w:val="00A855EB"/>
    <w:rsid w:val="00A85A04"/>
    <w:rsid w:val="00A86335"/>
    <w:rsid w:val="00A86384"/>
    <w:rsid w:val="00A87A51"/>
    <w:rsid w:val="00A92537"/>
    <w:rsid w:val="00A92EA3"/>
    <w:rsid w:val="00A9476A"/>
    <w:rsid w:val="00A94E1D"/>
    <w:rsid w:val="00A95987"/>
    <w:rsid w:val="00A96490"/>
    <w:rsid w:val="00A97E70"/>
    <w:rsid w:val="00AA0489"/>
    <w:rsid w:val="00AA0FCF"/>
    <w:rsid w:val="00AA186A"/>
    <w:rsid w:val="00AA1A56"/>
    <w:rsid w:val="00AA34E1"/>
    <w:rsid w:val="00AA353B"/>
    <w:rsid w:val="00AB1047"/>
    <w:rsid w:val="00AB26ED"/>
    <w:rsid w:val="00AB2B28"/>
    <w:rsid w:val="00AB417E"/>
    <w:rsid w:val="00AB4A89"/>
    <w:rsid w:val="00AB60B7"/>
    <w:rsid w:val="00AB6C13"/>
    <w:rsid w:val="00AB6D39"/>
    <w:rsid w:val="00AB7E97"/>
    <w:rsid w:val="00AB7F73"/>
    <w:rsid w:val="00AC0859"/>
    <w:rsid w:val="00AC08CD"/>
    <w:rsid w:val="00AC106A"/>
    <w:rsid w:val="00AC1BF8"/>
    <w:rsid w:val="00AC228E"/>
    <w:rsid w:val="00AC37E1"/>
    <w:rsid w:val="00AC3AA2"/>
    <w:rsid w:val="00AC457C"/>
    <w:rsid w:val="00AC7963"/>
    <w:rsid w:val="00AC7F3A"/>
    <w:rsid w:val="00AD182D"/>
    <w:rsid w:val="00AD1D56"/>
    <w:rsid w:val="00AD1E3E"/>
    <w:rsid w:val="00AD632A"/>
    <w:rsid w:val="00AD64C5"/>
    <w:rsid w:val="00AD64E8"/>
    <w:rsid w:val="00AD66A7"/>
    <w:rsid w:val="00AD7B75"/>
    <w:rsid w:val="00AE2C42"/>
    <w:rsid w:val="00AE2F57"/>
    <w:rsid w:val="00AE4FB6"/>
    <w:rsid w:val="00AE5748"/>
    <w:rsid w:val="00AE68AF"/>
    <w:rsid w:val="00AF0235"/>
    <w:rsid w:val="00AF0987"/>
    <w:rsid w:val="00AF1155"/>
    <w:rsid w:val="00AF73BA"/>
    <w:rsid w:val="00AF76F1"/>
    <w:rsid w:val="00B02DFD"/>
    <w:rsid w:val="00B036A5"/>
    <w:rsid w:val="00B03A2B"/>
    <w:rsid w:val="00B0578F"/>
    <w:rsid w:val="00B07154"/>
    <w:rsid w:val="00B07EE3"/>
    <w:rsid w:val="00B11882"/>
    <w:rsid w:val="00B13A22"/>
    <w:rsid w:val="00B20454"/>
    <w:rsid w:val="00B21B1B"/>
    <w:rsid w:val="00B2288B"/>
    <w:rsid w:val="00B235A6"/>
    <w:rsid w:val="00B25DF5"/>
    <w:rsid w:val="00B26D73"/>
    <w:rsid w:val="00B30A70"/>
    <w:rsid w:val="00B31E79"/>
    <w:rsid w:val="00B35C00"/>
    <w:rsid w:val="00B4090D"/>
    <w:rsid w:val="00B4284B"/>
    <w:rsid w:val="00B42E12"/>
    <w:rsid w:val="00B45667"/>
    <w:rsid w:val="00B4654A"/>
    <w:rsid w:val="00B47EDD"/>
    <w:rsid w:val="00B51690"/>
    <w:rsid w:val="00B52EF6"/>
    <w:rsid w:val="00B53C7E"/>
    <w:rsid w:val="00B53DEE"/>
    <w:rsid w:val="00B54694"/>
    <w:rsid w:val="00B57D04"/>
    <w:rsid w:val="00B60472"/>
    <w:rsid w:val="00B610BB"/>
    <w:rsid w:val="00B6143D"/>
    <w:rsid w:val="00B619C5"/>
    <w:rsid w:val="00B6212E"/>
    <w:rsid w:val="00B62277"/>
    <w:rsid w:val="00B64B11"/>
    <w:rsid w:val="00B64CA2"/>
    <w:rsid w:val="00B64DAE"/>
    <w:rsid w:val="00B66E38"/>
    <w:rsid w:val="00B70188"/>
    <w:rsid w:val="00B726D3"/>
    <w:rsid w:val="00B759C6"/>
    <w:rsid w:val="00B75B3D"/>
    <w:rsid w:val="00B75C42"/>
    <w:rsid w:val="00B7647A"/>
    <w:rsid w:val="00B7731F"/>
    <w:rsid w:val="00B80F15"/>
    <w:rsid w:val="00B812FB"/>
    <w:rsid w:val="00B8130C"/>
    <w:rsid w:val="00B81E95"/>
    <w:rsid w:val="00B82138"/>
    <w:rsid w:val="00B84AA8"/>
    <w:rsid w:val="00B85EC1"/>
    <w:rsid w:val="00B86571"/>
    <w:rsid w:val="00B90BDA"/>
    <w:rsid w:val="00B91315"/>
    <w:rsid w:val="00B91B7D"/>
    <w:rsid w:val="00B92185"/>
    <w:rsid w:val="00B92828"/>
    <w:rsid w:val="00B94372"/>
    <w:rsid w:val="00BA023C"/>
    <w:rsid w:val="00BA3902"/>
    <w:rsid w:val="00BA6AD7"/>
    <w:rsid w:val="00BA6CD0"/>
    <w:rsid w:val="00BA7758"/>
    <w:rsid w:val="00BB1BC1"/>
    <w:rsid w:val="00BB1F54"/>
    <w:rsid w:val="00BB2CC6"/>
    <w:rsid w:val="00BB2FC5"/>
    <w:rsid w:val="00BB3A76"/>
    <w:rsid w:val="00BB3B16"/>
    <w:rsid w:val="00BB4D6C"/>
    <w:rsid w:val="00BB64CE"/>
    <w:rsid w:val="00BB7D18"/>
    <w:rsid w:val="00BC3411"/>
    <w:rsid w:val="00BC3AF7"/>
    <w:rsid w:val="00BC3D27"/>
    <w:rsid w:val="00BC3F48"/>
    <w:rsid w:val="00BC42B8"/>
    <w:rsid w:val="00BC4967"/>
    <w:rsid w:val="00BC5183"/>
    <w:rsid w:val="00BC560C"/>
    <w:rsid w:val="00BC5FDF"/>
    <w:rsid w:val="00BC6AA2"/>
    <w:rsid w:val="00BD1BDC"/>
    <w:rsid w:val="00BD1E37"/>
    <w:rsid w:val="00BD27EB"/>
    <w:rsid w:val="00BD56E3"/>
    <w:rsid w:val="00BD6916"/>
    <w:rsid w:val="00BE0D57"/>
    <w:rsid w:val="00BE120B"/>
    <w:rsid w:val="00BE24D1"/>
    <w:rsid w:val="00BE2666"/>
    <w:rsid w:val="00BE331C"/>
    <w:rsid w:val="00BE3882"/>
    <w:rsid w:val="00BE4403"/>
    <w:rsid w:val="00BE619D"/>
    <w:rsid w:val="00BE69F0"/>
    <w:rsid w:val="00BE7678"/>
    <w:rsid w:val="00BF1AC0"/>
    <w:rsid w:val="00BF2234"/>
    <w:rsid w:val="00BF35CC"/>
    <w:rsid w:val="00BF4FF1"/>
    <w:rsid w:val="00BF58A9"/>
    <w:rsid w:val="00BF6BF7"/>
    <w:rsid w:val="00C00772"/>
    <w:rsid w:val="00C01110"/>
    <w:rsid w:val="00C05333"/>
    <w:rsid w:val="00C05467"/>
    <w:rsid w:val="00C07BA8"/>
    <w:rsid w:val="00C10024"/>
    <w:rsid w:val="00C11E8C"/>
    <w:rsid w:val="00C12AF6"/>
    <w:rsid w:val="00C138CB"/>
    <w:rsid w:val="00C148F7"/>
    <w:rsid w:val="00C14A19"/>
    <w:rsid w:val="00C1531A"/>
    <w:rsid w:val="00C23791"/>
    <w:rsid w:val="00C24D49"/>
    <w:rsid w:val="00C24F56"/>
    <w:rsid w:val="00C30317"/>
    <w:rsid w:val="00C316BD"/>
    <w:rsid w:val="00C31B6B"/>
    <w:rsid w:val="00C3211F"/>
    <w:rsid w:val="00C32662"/>
    <w:rsid w:val="00C32B3A"/>
    <w:rsid w:val="00C32D26"/>
    <w:rsid w:val="00C33E95"/>
    <w:rsid w:val="00C3438E"/>
    <w:rsid w:val="00C34B54"/>
    <w:rsid w:val="00C34CC5"/>
    <w:rsid w:val="00C34E1E"/>
    <w:rsid w:val="00C3501B"/>
    <w:rsid w:val="00C364D6"/>
    <w:rsid w:val="00C40888"/>
    <w:rsid w:val="00C42DA8"/>
    <w:rsid w:val="00C43FCE"/>
    <w:rsid w:val="00C468ED"/>
    <w:rsid w:val="00C46A53"/>
    <w:rsid w:val="00C508DB"/>
    <w:rsid w:val="00C52AB5"/>
    <w:rsid w:val="00C52E36"/>
    <w:rsid w:val="00C530F6"/>
    <w:rsid w:val="00C541A5"/>
    <w:rsid w:val="00C54EF2"/>
    <w:rsid w:val="00C610A0"/>
    <w:rsid w:val="00C63F2F"/>
    <w:rsid w:val="00C644A1"/>
    <w:rsid w:val="00C64BF2"/>
    <w:rsid w:val="00C67F71"/>
    <w:rsid w:val="00C70F25"/>
    <w:rsid w:val="00C72324"/>
    <w:rsid w:val="00C759B3"/>
    <w:rsid w:val="00C767E2"/>
    <w:rsid w:val="00C76E8A"/>
    <w:rsid w:val="00C779F2"/>
    <w:rsid w:val="00C80757"/>
    <w:rsid w:val="00C81571"/>
    <w:rsid w:val="00C8234F"/>
    <w:rsid w:val="00C83FC0"/>
    <w:rsid w:val="00C86A99"/>
    <w:rsid w:val="00C86CE1"/>
    <w:rsid w:val="00C874E2"/>
    <w:rsid w:val="00C9017E"/>
    <w:rsid w:val="00C915A8"/>
    <w:rsid w:val="00C91C7E"/>
    <w:rsid w:val="00C9386B"/>
    <w:rsid w:val="00C9465D"/>
    <w:rsid w:val="00CA009E"/>
    <w:rsid w:val="00CA0743"/>
    <w:rsid w:val="00CA08E4"/>
    <w:rsid w:val="00CA0B5F"/>
    <w:rsid w:val="00CA1EDB"/>
    <w:rsid w:val="00CA3D49"/>
    <w:rsid w:val="00CA449D"/>
    <w:rsid w:val="00CA573F"/>
    <w:rsid w:val="00CA62B0"/>
    <w:rsid w:val="00CA6503"/>
    <w:rsid w:val="00CB1426"/>
    <w:rsid w:val="00CB1F27"/>
    <w:rsid w:val="00CB2357"/>
    <w:rsid w:val="00CB4893"/>
    <w:rsid w:val="00CB58BB"/>
    <w:rsid w:val="00CB5FA1"/>
    <w:rsid w:val="00CC1CD7"/>
    <w:rsid w:val="00CC1CDD"/>
    <w:rsid w:val="00CC22C5"/>
    <w:rsid w:val="00CC6A7F"/>
    <w:rsid w:val="00CC6EA7"/>
    <w:rsid w:val="00CC71B2"/>
    <w:rsid w:val="00CC7E80"/>
    <w:rsid w:val="00CD0108"/>
    <w:rsid w:val="00CD0295"/>
    <w:rsid w:val="00CD0866"/>
    <w:rsid w:val="00CD108A"/>
    <w:rsid w:val="00CD16CD"/>
    <w:rsid w:val="00CD2DE9"/>
    <w:rsid w:val="00CD3138"/>
    <w:rsid w:val="00CD4307"/>
    <w:rsid w:val="00CD5734"/>
    <w:rsid w:val="00CD65B1"/>
    <w:rsid w:val="00CE177D"/>
    <w:rsid w:val="00CE2A22"/>
    <w:rsid w:val="00CE3820"/>
    <w:rsid w:val="00CE3C8F"/>
    <w:rsid w:val="00CE4958"/>
    <w:rsid w:val="00CE619C"/>
    <w:rsid w:val="00CE6767"/>
    <w:rsid w:val="00CE7CD2"/>
    <w:rsid w:val="00CF0DFA"/>
    <w:rsid w:val="00CF1344"/>
    <w:rsid w:val="00CF2550"/>
    <w:rsid w:val="00CF34A6"/>
    <w:rsid w:val="00CF35B5"/>
    <w:rsid w:val="00CF3826"/>
    <w:rsid w:val="00CF42DB"/>
    <w:rsid w:val="00CF5FA7"/>
    <w:rsid w:val="00CF7A30"/>
    <w:rsid w:val="00D00E00"/>
    <w:rsid w:val="00D01156"/>
    <w:rsid w:val="00D016B6"/>
    <w:rsid w:val="00D02729"/>
    <w:rsid w:val="00D033A3"/>
    <w:rsid w:val="00D0386B"/>
    <w:rsid w:val="00D03B96"/>
    <w:rsid w:val="00D03F20"/>
    <w:rsid w:val="00D046A3"/>
    <w:rsid w:val="00D0564A"/>
    <w:rsid w:val="00D077C9"/>
    <w:rsid w:val="00D10760"/>
    <w:rsid w:val="00D11C23"/>
    <w:rsid w:val="00D14AB3"/>
    <w:rsid w:val="00D15462"/>
    <w:rsid w:val="00D162F7"/>
    <w:rsid w:val="00D16641"/>
    <w:rsid w:val="00D166C6"/>
    <w:rsid w:val="00D16F3A"/>
    <w:rsid w:val="00D217BA"/>
    <w:rsid w:val="00D21B18"/>
    <w:rsid w:val="00D235E0"/>
    <w:rsid w:val="00D236E0"/>
    <w:rsid w:val="00D2474D"/>
    <w:rsid w:val="00D25C6E"/>
    <w:rsid w:val="00D26704"/>
    <w:rsid w:val="00D27AB6"/>
    <w:rsid w:val="00D312CA"/>
    <w:rsid w:val="00D31E17"/>
    <w:rsid w:val="00D33A80"/>
    <w:rsid w:val="00D3481C"/>
    <w:rsid w:val="00D36D9E"/>
    <w:rsid w:val="00D37A87"/>
    <w:rsid w:val="00D37CDB"/>
    <w:rsid w:val="00D37FBD"/>
    <w:rsid w:val="00D415C7"/>
    <w:rsid w:val="00D416C4"/>
    <w:rsid w:val="00D41A67"/>
    <w:rsid w:val="00D4430C"/>
    <w:rsid w:val="00D50669"/>
    <w:rsid w:val="00D51D87"/>
    <w:rsid w:val="00D528C8"/>
    <w:rsid w:val="00D52928"/>
    <w:rsid w:val="00D540EE"/>
    <w:rsid w:val="00D54A64"/>
    <w:rsid w:val="00D57F07"/>
    <w:rsid w:val="00D60A11"/>
    <w:rsid w:val="00D60DF3"/>
    <w:rsid w:val="00D61760"/>
    <w:rsid w:val="00D6352B"/>
    <w:rsid w:val="00D63F4F"/>
    <w:rsid w:val="00D647E3"/>
    <w:rsid w:val="00D64E23"/>
    <w:rsid w:val="00D6578E"/>
    <w:rsid w:val="00D7085A"/>
    <w:rsid w:val="00D73065"/>
    <w:rsid w:val="00D757E2"/>
    <w:rsid w:val="00D75E6F"/>
    <w:rsid w:val="00D77F93"/>
    <w:rsid w:val="00D8092C"/>
    <w:rsid w:val="00D81AB4"/>
    <w:rsid w:val="00D833E8"/>
    <w:rsid w:val="00D855DB"/>
    <w:rsid w:val="00D85A24"/>
    <w:rsid w:val="00D86028"/>
    <w:rsid w:val="00D8643C"/>
    <w:rsid w:val="00D872D6"/>
    <w:rsid w:val="00D87BAC"/>
    <w:rsid w:val="00D92B65"/>
    <w:rsid w:val="00D92F91"/>
    <w:rsid w:val="00D93DE9"/>
    <w:rsid w:val="00DA0630"/>
    <w:rsid w:val="00DA17D5"/>
    <w:rsid w:val="00DA1AC2"/>
    <w:rsid w:val="00DA2419"/>
    <w:rsid w:val="00DA5546"/>
    <w:rsid w:val="00DA6063"/>
    <w:rsid w:val="00DA6DAB"/>
    <w:rsid w:val="00DA7015"/>
    <w:rsid w:val="00DA7FB1"/>
    <w:rsid w:val="00DB300F"/>
    <w:rsid w:val="00DB364A"/>
    <w:rsid w:val="00DB4864"/>
    <w:rsid w:val="00DB68FA"/>
    <w:rsid w:val="00DB76BC"/>
    <w:rsid w:val="00DB7ED6"/>
    <w:rsid w:val="00DC14C3"/>
    <w:rsid w:val="00DC162F"/>
    <w:rsid w:val="00DC1C23"/>
    <w:rsid w:val="00DC2287"/>
    <w:rsid w:val="00DC2F8F"/>
    <w:rsid w:val="00DC3792"/>
    <w:rsid w:val="00DC43ED"/>
    <w:rsid w:val="00DD09D6"/>
    <w:rsid w:val="00DD37DC"/>
    <w:rsid w:val="00DD7398"/>
    <w:rsid w:val="00DE27DF"/>
    <w:rsid w:val="00DE2C26"/>
    <w:rsid w:val="00DE33FB"/>
    <w:rsid w:val="00DE47A2"/>
    <w:rsid w:val="00DE4AED"/>
    <w:rsid w:val="00DE4F06"/>
    <w:rsid w:val="00DE5FB6"/>
    <w:rsid w:val="00DF035C"/>
    <w:rsid w:val="00DF0959"/>
    <w:rsid w:val="00DF2562"/>
    <w:rsid w:val="00DF2640"/>
    <w:rsid w:val="00DF2B00"/>
    <w:rsid w:val="00DF475D"/>
    <w:rsid w:val="00DF5788"/>
    <w:rsid w:val="00DF7104"/>
    <w:rsid w:val="00E00A8C"/>
    <w:rsid w:val="00E0142C"/>
    <w:rsid w:val="00E01CB4"/>
    <w:rsid w:val="00E022B8"/>
    <w:rsid w:val="00E02CAA"/>
    <w:rsid w:val="00E02E51"/>
    <w:rsid w:val="00E02E58"/>
    <w:rsid w:val="00E04C7F"/>
    <w:rsid w:val="00E05563"/>
    <w:rsid w:val="00E06465"/>
    <w:rsid w:val="00E0709C"/>
    <w:rsid w:val="00E10CB5"/>
    <w:rsid w:val="00E13013"/>
    <w:rsid w:val="00E1527C"/>
    <w:rsid w:val="00E1534B"/>
    <w:rsid w:val="00E158F0"/>
    <w:rsid w:val="00E16415"/>
    <w:rsid w:val="00E175A7"/>
    <w:rsid w:val="00E17F20"/>
    <w:rsid w:val="00E20387"/>
    <w:rsid w:val="00E20980"/>
    <w:rsid w:val="00E23608"/>
    <w:rsid w:val="00E26C9F"/>
    <w:rsid w:val="00E27BD8"/>
    <w:rsid w:val="00E33753"/>
    <w:rsid w:val="00E3539A"/>
    <w:rsid w:val="00E36504"/>
    <w:rsid w:val="00E36B86"/>
    <w:rsid w:val="00E36FD8"/>
    <w:rsid w:val="00E3759A"/>
    <w:rsid w:val="00E40268"/>
    <w:rsid w:val="00E444F5"/>
    <w:rsid w:val="00E47FF6"/>
    <w:rsid w:val="00E51697"/>
    <w:rsid w:val="00E53FF9"/>
    <w:rsid w:val="00E54405"/>
    <w:rsid w:val="00E54AD4"/>
    <w:rsid w:val="00E55572"/>
    <w:rsid w:val="00E5622D"/>
    <w:rsid w:val="00E56861"/>
    <w:rsid w:val="00E57089"/>
    <w:rsid w:val="00E619F9"/>
    <w:rsid w:val="00E61CE4"/>
    <w:rsid w:val="00E6370C"/>
    <w:rsid w:val="00E63D34"/>
    <w:rsid w:val="00E64DA9"/>
    <w:rsid w:val="00E65172"/>
    <w:rsid w:val="00E664B6"/>
    <w:rsid w:val="00E66BF4"/>
    <w:rsid w:val="00E716B8"/>
    <w:rsid w:val="00E71F02"/>
    <w:rsid w:val="00E72586"/>
    <w:rsid w:val="00E72992"/>
    <w:rsid w:val="00E72DDD"/>
    <w:rsid w:val="00E73014"/>
    <w:rsid w:val="00E7487A"/>
    <w:rsid w:val="00E75A74"/>
    <w:rsid w:val="00E7664F"/>
    <w:rsid w:val="00E76E4B"/>
    <w:rsid w:val="00E805C3"/>
    <w:rsid w:val="00E83B6A"/>
    <w:rsid w:val="00E83EC9"/>
    <w:rsid w:val="00E840AD"/>
    <w:rsid w:val="00E84ED6"/>
    <w:rsid w:val="00E87BA6"/>
    <w:rsid w:val="00E92480"/>
    <w:rsid w:val="00E93408"/>
    <w:rsid w:val="00E9429A"/>
    <w:rsid w:val="00E95FBF"/>
    <w:rsid w:val="00E96FFC"/>
    <w:rsid w:val="00E97A8B"/>
    <w:rsid w:val="00E97F63"/>
    <w:rsid w:val="00EA0481"/>
    <w:rsid w:val="00EA2991"/>
    <w:rsid w:val="00EB1292"/>
    <w:rsid w:val="00EB17B7"/>
    <w:rsid w:val="00EB2D41"/>
    <w:rsid w:val="00EB63E3"/>
    <w:rsid w:val="00EB7D7C"/>
    <w:rsid w:val="00EC0AF2"/>
    <w:rsid w:val="00EC0D8C"/>
    <w:rsid w:val="00EC280D"/>
    <w:rsid w:val="00EC29DC"/>
    <w:rsid w:val="00EC3331"/>
    <w:rsid w:val="00EC360D"/>
    <w:rsid w:val="00EC4AFC"/>
    <w:rsid w:val="00EC5632"/>
    <w:rsid w:val="00EC58C6"/>
    <w:rsid w:val="00EC682C"/>
    <w:rsid w:val="00EC71AA"/>
    <w:rsid w:val="00EC797D"/>
    <w:rsid w:val="00ED0124"/>
    <w:rsid w:val="00ED0D08"/>
    <w:rsid w:val="00ED1EBE"/>
    <w:rsid w:val="00ED3C10"/>
    <w:rsid w:val="00ED5B5C"/>
    <w:rsid w:val="00ED5E7D"/>
    <w:rsid w:val="00ED6364"/>
    <w:rsid w:val="00ED7367"/>
    <w:rsid w:val="00ED7AEB"/>
    <w:rsid w:val="00EE004B"/>
    <w:rsid w:val="00EE0355"/>
    <w:rsid w:val="00EE1B9F"/>
    <w:rsid w:val="00EE3F89"/>
    <w:rsid w:val="00EE7224"/>
    <w:rsid w:val="00EE7FE7"/>
    <w:rsid w:val="00EF019C"/>
    <w:rsid w:val="00EF02B6"/>
    <w:rsid w:val="00EF1D2C"/>
    <w:rsid w:val="00EF3565"/>
    <w:rsid w:val="00EF3E4D"/>
    <w:rsid w:val="00EF3ED5"/>
    <w:rsid w:val="00EF6AD4"/>
    <w:rsid w:val="00EF745C"/>
    <w:rsid w:val="00EF76F1"/>
    <w:rsid w:val="00F0062B"/>
    <w:rsid w:val="00F01426"/>
    <w:rsid w:val="00F01E0B"/>
    <w:rsid w:val="00F023F9"/>
    <w:rsid w:val="00F0389D"/>
    <w:rsid w:val="00F03AA4"/>
    <w:rsid w:val="00F07B1C"/>
    <w:rsid w:val="00F108E8"/>
    <w:rsid w:val="00F12409"/>
    <w:rsid w:val="00F2069E"/>
    <w:rsid w:val="00F212B0"/>
    <w:rsid w:val="00F23B89"/>
    <w:rsid w:val="00F24CE9"/>
    <w:rsid w:val="00F2532D"/>
    <w:rsid w:val="00F30503"/>
    <w:rsid w:val="00F30907"/>
    <w:rsid w:val="00F3119D"/>
    <w:rsid w:val="00F31D51"/>
    <w:rsid w:val="00F31ED8"/>
    <w:rsid w:val="00F33032"/>
    <w:rsid w:val="00F33AB1"/>
    <w:rsid w:val="00F3797E"/>
    <w:rsid w:val="00F42F8E"/>
    <w:rsid w:val="00F4432E"/>
    <w:rsid w:val="00F4533E"/>
    <w:rsid w:val="00F4568F"/>
    <w:rsid w:val="00F459A9"/>
    <w:rsid w:val="00F46549"/>
    <w:rsid w:val="00F503D9"/>
    <w:rsid w:val="00F50A84"/>
    <w:rsid w:val="00F51A85"/>
    <w:rsid w:val="00F526F4"/>
    <w:rsid w:val="00F52F32"/>
    <w:rsid w:val="00F56664"/>
    <w:rsid w:val="00F57615"/>
    <w:rsid w:val="00F6192A"/>
    <w:rsid w:val="00F636E3"/>
    <w:rsid w:val="00F64C11"/>
    <w:rsid w:val="00F64D2B"/>
    <w:rsid w:val="00F65439"/>
    <w:rsid w:val="00F66636"/>
    <w:rsid w:val="00F66A43"/>
    <w:rsid w:val="00F7100D"/>
    <w:rsid w:val="00F715B4"/>
    <w:rsid w:val="00F7271D"/>
    <w:rsid w:val="00F73DC2"/>
    <w:rsid w:val="00F74904"/>
    <w:rsid w:val="00F74C03"/>
    <w:rsid w:val="00F75755"/>
    <w:rsid w:val="00F8155E"/>
    <w:rsid w:val="00F81A49"/>
    <w:rsid w:val="00F82AA2"/>
    <w:rsid w:val="00F83448"/>
    <w:rsid w:val="00F84FA6"/>
    <w:rsid w:val="00F850CD"/>
    <w:rsid w:val="00F90DA0"/>
    <w:rsid w:val="00F9179C"/>
    <w:rsid w:val="00F93934"/>
    <w:rsid w:val="00F950A6"/>
    <w:rsid w:val="00F9589B"/>
    <w:rsid w:val="00FA277E"/>
    <w:rsid w:val="00FA2B9C"/>
    <w:rsid w:val="00FA3C46"/>
    <w:rsid w:val="00FA3CE8"/>
    <w:rsid w:val="00FA6DCB"/>
    <w:rsid w:val="00FA6E3A"/>
    <w:rsid w:val="00FA7509"/>
    <w:rsid w:val="00FB09E1"/>
    <w:rsid w:val="00FB2747"/>
    <w:rsid w:val="00FB28D5"/>
    <w:rsid w:val="00FB39B7"/>
    <w:rsid w:val="00FB39BB"/>
    <w:rsid w:val="00FB42A6"/>
    <w:rsid w:val="00FB6484"/>
    <w:rsid w:val="00FC1085"/>
    <w:rsid w:val="00FC1D2C"/>
    <w:rsid w:val="00FC60AC"/>
    <w:rsid w:val="00FC6E31"/>
    <w:rsid w:val="00FD0843"/>
    <w:rsid w:val="00FD212C"/>
    <w:rsid w:val="00FD4F53"/>
    <w:rsid w:val="00FD6101"/>
    <w:rsid w:val="00FD624B"/>
    <w:rsid w:val="00FD624F"/>
    <w:rsid w:val="00FE1514"/>
    <w:rsid w:val="00FE329D"/>
    <w:rsid w:val="00FE4672"/>
    <w:rsid w:val="00FE58A3"/>
    <w:rsid w:val="00FE5F06"/>
    <w:rsid w:val="00FE78BE"/>
    <w:rsid w:val="00FF06AD"/>
    <w:rsid w:val="00FF1FCF"/>
    <w:rsid w:val="00FF41D0"/>
    <w:rsid w:val="00FF71BF"/>
    <w:rsid w:val="00FF76FE"/>
    <w:rsid w:val="00FF7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B4E"/>
    <w:rPr>
      <w:sz w:val="24"/>
      <w:szCs w:val="24"/>
    </w:rPr>
  </w:style>
  <w:style w:type="paragraph" w:styleId="Heading1">
    <w:name w:val="heading 1"/>
    <w:basedOn w:val="Normal"/>
    <w:next w:val="Normal"/>
    <w:link w:val="Heading1Char"/>
    <w:qFormat/>
    <w:rsid w:val="001B5386"/>
    <w:pPr>
      <w:keepNext/>
      <w:spacing w:before="240" w:after="60"/>
      <w:outlineLvl w:val="0"/>
    </w:pPr>
    <w:rPr>
      <w:rFonts w:ascii="Calibri" w:eastAsia="MS Gothic" w:hAnsi="Calibri"/>
      <w:b/>
      <w:bCs/>
      <w:kern w:val="32"/>
      <w:sz w:val="32"/>
      <w:szCs w:val="32"/>
    </w:rPr>
  </w:style>
  <w:style w:type="paragraph" w:styleId="Heading4">
    <w:name w:val="heading 4"/>
    <w:basedOn w:val="Normal"/>
    <w:link w:val="Heading4Char"/>
    <w:uiPriority w:val="9"/>
    <w:qFormat/>
    <w:rsid w:val="00590560"/>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C43FCE"/>
    <w:pPr>
      <w:tabs>
        <w:tab w:val="center" w:pos="4677"/>
        <w:tab w:val="right" w:pos="9355"/>
      </w:tabs>
    </w:pPr>
  </w:style>
  <w:style w:type="paragraph" w:styleId="Footer">
    <w:name w:val="footer"/>
    <w:basedOn w:val="Normal"/>
    <w:rsid w:val="00C43FCE"/>
    <w:pPr>
      <w:tabs>
        <w:tab w:val="center" w:pos="4677"/>
        <w:tab w:val="right" w:pos="9355"/>
      </w:tabs>
    </w:pPr>
  </w:style>
  <w:style w:type="character" w:styleId="Emphasis">
    <w:name w:val="Emphasis"/>
    <w:qFormat/>
    <w:rsid w:val="008B001C"/>
    <w:rPr>
      <w:i/>
      <w:iCs/>
    </w:rPr>
  </w:style>
  <w:style w:type="table" w:styleId="TableGrid">
    <w:name w:val="Table Grid"/>
    <w:basedOn w:val="TableNormal"/>
    <w:rsid w:val="003957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hidden/>
    </w:trPr>
  </w:style>
  <w:style w:type="paragraph" w:styleId="BalloonText">
    <w:name w:val="Balloon Text"/>
    <w:basedOn w:val="Normal"/>
    <w:semiHidden/>
    <w:rsid w:val="00005B4E"/>
    <w:rPr>
      <w:rFonts w:ascii="Tahoma" w:hAnsi="Tahoma" w:cs="Tahoma"/>
      <w:sz w:val="16"/>
      <w:szCs w:val="16"/>
    </w:rPr>
  </w:style>
  <w:style w:type="character" w:customStyle="1" w:styleId="Heading4Char">
    <w:name w:val="Heading 4 Char"/>
    <w:link w:val="Heading4"/>
    <w:uiPriority w:val="9"/>
    <w:rsid w:val="00590560"/>
    <w:rPr>
      <w:b/>
      <w:bCs/>
      <w:sz w:val="24"/>
      <w:szCs w:val="24"/>
    </w:rPr>
  </w:style>
  <w:style w:type="paragraph" w:customStyle="1" w:styleId="Sansinterligne">
    <w:name w:val="Sans interligne"/>
    <w:uiPriority w:val="1"/>
    <w:qFormat/>
    <w:rsid w:val="00AA186A"/>
    <w:rPr>
      <w:rFonts w:ascii="Calibri" w:eastAsia="Calibri" w:hAnsi="Calibri" w:cs="Arial"/>
      <w:sz w:val="22"/>
      <w:szCs w:val="24"/>
      <w:lang w:eastAsia="en-US"/>
    </w:rPr>
  </w:style>
  <w:style w:type="character" w:styleId="Hyperlink">
    <w:name w:val="Hyperlink"/>
    <w:uiPriority w:val="99"/>
    <w:unhideWhenUsed/>
    <w:rsid w:val="00AA186A"/>
    <w:rPr>
      <w:color w:val="0000FF"/>
      <w:u w:val="single"/>
    </w:rPr>
  </w:style>
  <w:style w:type="paragraph" w:customStyle="1" w:styleId="Default">
    <w:name w:val="Default"/>
    <w:rsid w:val="00AA186A"/>
    <w:pPr>
      <w:autoSpaceDE w:val="0"/>
      <w:autoSpaceDN w:val="0"/>
      <w:adjustRightInd w:val="0"/>
    </w:pPr>
    <w:rPr>
      <w:rFonts w:ascii="Calibri" w:hAnsi="Calibri" w:cs="Calibri"/>
      <w:color w:val="000000"/>
      <w:sz w:val="24"/>
      <w:szCs w:val="24"/>
    </w:rPr>
  </w:style>
  <w:style w:type="paragraph" w:customStyle="1" w:styleId="CM4">
    <w:name w:val="CM4"/>
    <w:basedOn w:val="Default"/>
    <w:next w:val="Default"/>
    <w:uiPriority w:val="99"/>
    <w:rsid w:val="009E3A81"/>
    <w:pPr>
      <w:widowControl w:val="0"/>
    </w:pPr>
    <w:rPr>
      <w:rFonts w:ascii="Arial" w:hAnsi="Arial" w:cs="Arial"/>
      <w:color w:val="auto"/>
    </w:rPr>
  </w:style>
  <w:style w:type="paragraph" w:customStyle="1" w:styleId="MediumList2-Accent21">
    <w:name w:val="Medium List 2 - Accent 21"/>
    <w:hidden/>
    <w:uiPriority w:val="99"/>
    <w:semiHidden/>
    <w:rsid w:val="00E72992"/>
    <w:rPr>
      <w:sz w:val="24"/>
      <w:szCs w:val="24"/>
    </w:rPr>
  </w:style>
  <w:style w:type="character" w:styleId="CommentReference">
    <w:name w:val="annotation reference"/>
    <w:rsid w:val="0049725F"/>
    <w:rPr>
      <w:sz w:val="16"/>
      <w:szCs w:val="16"/>
    </w:rPr>
  </w:style>
  <w:style w:type="paragraph" w:styleId="CommentText">
    <w:name w:val="annotation text"/>
    <w:basedOn w:val="Normal"/>
    <w:link w:val="CommentTextChar"/>
    <w:rsid w:val="0049725F"/>
    <w:rPr>
      <w:sz w:val="20"/>
      <w:szCs w:val="20"/>
    </w:rPr>
  </w:style>
  <w:style w:type="character" w:customStyle="1" w:styleId="CommentTextChar">
    <w:name w:val="Comment Text Char"/>
    <w:link w:val="CommentText"/>
    <w:rsid w:val="0049725F"/>
    <w:rPr>
      <w:lang w:val="ru-RU" w:eastAsia="ru-RU"/>
    </w:rPr>
  </w:style>
  <w:style w:type="paragraph" w:styleId="CommentSubject">
    <w:name w:val="annotation subject"/>
    <w:basedOn w:val="CommentText"/>
    <w:next w:val="CommentText"/>
    <w:link w:val="CommentSubjectChar"/>
    <w:rsid w:val="0049725F"/>
    <w:rPr>
      <w:b/>
      <w:bCs/>
    </w:rPr>
  </w:style>
  <w:style w:type="character" w:customStyle="1" w:styleId="CommentSubjectChar">
    <w:name w:val="Comment Subject Char"/>
    <w:link w:val="CommentSubject"/>
    <w:rsid w:val="0049725F"/>
    <w:rPr>
      <w:b/>
      <w:bCs/>
      <w:lang w:val="ru-RU" w:eastAsia="ru-RU"/>
    </w:rPr>
  </w:style>
  <w:style w:type="table" w:customStyle="1" w:styleId="TableGrid1">
    <w:name w:val="Table Grid1"/>
    <w:basedOn w:val="TableNormal"/>
    <w:next w:val="TableGrid"/>
    <w:uiPriority w:val="59"/>
    <w:rsid w:val="005B485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Heading1Char">
    <w:name w:val="Heading 1 Char"/>
    <w:link w:val="Heading1"/>
    <w:rsid w:val="001B5386"/>
    <w:rPr>
      <w:rFonts w:ascii="Calibri" w:eastAsia="MS Gothic" w:hAnsi="Calibri" w:cs="Times New Roman"/>
      <w:b/>
      <w:bCs/>
      <w:kern w:val="32"/>
      <w:sz w:val="32"/>
      <w:szCs w:val="3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B4E"/>
    <w:rPr>
      <w:sz w:val="24"/>
      <w:szCs w:val="24"/>
    </w:rPr>
  </w:style>
  <w:style w:type="paragraph" w:styleId="Heading1">
    <w:name w:val="heading 1"/>
    <w:basedOn w:val="Normal"/>
    <w:next w:val="Normal"/>
    <w:link w:val="Heading1Char"/>
    <w:qFormat/>
    <w:rsid w:val="001B5386"/>
    <w:pPr>
      <w:keepNext/>
      <w:spacing w:before="240" w:after="60"/>
      <w:outlineLvl w:val="0"/>
    </w:pPr>
    <w:rPr>
      <w:rFonts w:ascii="Calibri" w:eastAsia="MS Gothic" w:hAnsi="Calibri"/>
      <w:b/>
      <w:bCs/>
      <w:kern w:val="32"/>
      <w:sz w:val="32"/>
      <w:szCs w:val="32"/>
    </w:rPr>
  </w:style>
  <w:style w:type="paragraph" w:styleId="Heading4">
    <w:name w:val="heading 4"/>
    <w:basedOn w:val="Normal"/>
    <w:link w:val="Heading4Char"/>
    <w:uiPriority w:val="9"/>
    <w:qFormat/>
    <w:rsid w:val="00590560"/>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C43FCE"/>
    <w:pPr>
      <w:tabs>
        <w:tab w:val="center" w:pos="4677"/>
        <w:tab w:val="right" w:pos="9355"/>
      </w:tabs>
    </w:pPr>
  </w:style>
  <w:style w:type="paragraph" w:styleId="Footer">
    <w:name w:val="footer"/>
    <w:basedOn w:val="Normal"/>
    <w:rsid w:val="00C43FCE"/>
    <w:pPr>
      <w:tabs>
        <w:tab w:val="center" w:pos="4677"/>
        <w:tab w:val="right" w:pos="9355"/>
      </w:tabs>
    </w:pPr>
  </w:style>
  <w:style w:type="character" w:styleId="Emphasis">
    <w:name w:val="Emphasis"/>
    <w:qFormat/>
    <w:rsid w:val="008B001C"/>
    <w:rPr>
      <w:i/>
      <w:iCs/>
    </w:rPr>
  </w:style>
  <w:style w:type="table" w:styleId="TableGrid">
    <w:name w:val="Table Grid"/>
    <w:basedOn w:val="TableNormal"/>
    <w:rsid w:val="003957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hidden/>
    </w:trPr>
  </w:style>
  <w:style w:type="paragraph" w:styleId="BalloonText">
    <w:name w:val="Balloon Text"/>
    <w:basedOn w:val="Normal"/>
    <w:semiHidden/>
    <w:rsid w:val="00005B4E"/>
    <w:rPr>
      <w:rFonts w:ascii="Tahoma" w:hAnsi="Tahoma" w:cs="Tahoma"/>
      <w:sz w:val="16"/>
      <w:szCs w:val="16"/>
    </w:rPr>
  </w:style>
  <w:style w:type="character" w:customStyle="1" w:styleId="Heading4Char">
    <w:name w:val="Heading 4 Char"/>
    <w:link w:val="Heading4"/>
    <w:uiPriority w:val="9"/>
    <w:rsid w:val="00590560"/>
    <w:rPr>
      <w:b/>
      <w:bCs/>
      <w:sz w:val="24"/>
      <w:szCs w:val="24"/>
    </w:rPr>
  </w:style>
  <w:style w:type="paragraph" w:customStyle="1" w:styleId="Sansinterligne">
    <w:name w:val="Sans interligne"/>
    <w:uiPriority w:val="1"/>
    <w:qFormat/>
    <w:rsid w:val="00AA186A"/>
    <w:rPr>
      <w:rFonts w:ascii="Calibri" w:eastAsia="Calibri" w:hAnsi="Calibri" w:cs="Arial"/>
      <w:sz w:val="22"/>
      <w:szCs w:val="24"/>
      <w:lang w:eastAsia="en-US"/>
    </w:rPr>
  </w:style>
  <w:style w:type="character" w:styleId="Hyperlink">
    <w:name w:val="Hyperlink"/>
    <w:uiPriority w:val="99"/>
    <w:unhideWhenUsed/>
    <w:rsid w:val="00AA186A"/>
    <w:rPr>
      <w:color w:val="0000FF"/>
      <w:u w:val="single"/>
    </w:rPr>
  </w:style>
  <w:style w:type="paragraph" w:customStyle="1" w:styleId="Default">
    <w:name w:val="Default"/>
    <w:rsid w:val="00AA186A"/>
    <w:pPr>
      <w:autoSpaceDE w:val="0"/>
      <w:autoSpaceDN w:val="0"/>
      <w:adjustRightInd w:val="0"/>
    </w:pPr>
    <w:rPr>
      <w:rFonts w:ascii="Calibri" w:hAnsi="Calibri" w:cs="Calibri"/>
      <w:color w:val="000000"/>
      <w:sz w:val="24"/>
      <w:szCs w:val="24"/>
    </w:rPr>
  </w:style>
  <w:style w:type="paragraph" w:customStyle="1" w:styleId="CM4">
    <w:name w:val="CM4"/>
    <w:basedOn w:val="Default"/>
    <w:next w:val="Default"/>
    <w:uiPriority w:val="99"/>
    <w:rsid w:val="009E3A81"/>
    <w:pPr>
      <w:widowControl w:val="0"/>
    </w:pPr>
    <w:rPr>
      <w:rFonts w:ascii="Arial" w:hAnsi="Arial" w:cs="Arial"/>
      <w:color w:val="auto"/>
    </w:rPr>
  </w:style>
  <w:style w:type="paragraph" w:customStyle="1" w:styleId="MediumList2-Accent21">
    <w:name w:val="Medium List 2 - Accent 21"/>
    <w:hidden/>
    <w:uiPriority w:val="99"/>
    <w:semiHidden/>
    <w:rsid w:val="00E72992"/>
    <w:rPr>
      <w:sz w:val="24"/>
      <w:szCs w:val="24"/>
    </w:rPr>
  </w:style>
  <w:style w:type="character" w:styleId="CommentReference">
    <w:name w:val="annotation reference"/>
    <w:rsid w:val="0049725F"/>
    <w:rPr>
      <w:sz w:val="16"/>
      <w:szCs w:val="16"/>
    </w:rPr>
  </w:style>
  <w:style w:type="paragraph" w:styleId="CommentText">
    <w:name w:val="annotation text"/>
    <w:basedOn w:val="Normal"/>
    <w:link w:val="CommentTextChar"/>
    <w:rsid w:val="0049725F"/>
    <w:rPr>
      <w:sz w:val="20"/>
      <w:szCs w:val="20"/>
    </w:rPr>
  </w:style>
  <w:style w:type="character" w:customStyle="1" w:styleId="CommentTextChar">
    <w:name w:val="Comment Text Char"/>
    <w:link w:val="CommentText"/>
    <w:rsid w:val="0049725F"/>
    <w:rPr>
      <w:lang w:val="ru-RU" w:eastAsia="ru-RU"/>
    </w:rPr>
  </w:style>
  <w:style w:type="paragraph" w:styleId="CommentSubject">
    <w:name w:val="annotation subject"/>
    <w:basedOn w:val="CommentText"/>
    <w:next w:val="CommentText"/>
    <w:link w:val="CommentSubjectChar"/>
    <w:rsid w:val="0049725F"/>
    <w:rPr>
      <w:b/>
      <w:bCs/>
    </w:rPr>
  </w:style>
  <w:style w:type="character" w:customStyle="1" w:styleId="CommentSubjectChar">
    <w:name w:val="Comment Subject Char"/>
    <w:link w:val="CommentSubject"/>
    <w:rsid w:val="0049725F"/>
    <w:rPr>
      <w:b/>
      <w:bCs/>
      <w:lang w:val="ru-RU" w:eastAsia="ru-RU"/>
    </w:rPr>
  </w:style>
  <w:style w:type="table" w:customStyle="1" w:styleId="TableGrid1">
    <w:name w:val="Table Grid1"/>
    <w:basedOn w:val="TableNormal"/>
    <w:next w:val="TableGrid"/>
    <w:uiPriority w:val="59"/>
    <w:rsid w:val="005B485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Heading1Char">
    <w:name w:val="Heading 1 Char"/>
    <w:link w:val="Heading1"/>
    <w:rsid w:val="001B5386"/>
    <w:rPr>
      <w:rFonts w:ascii="Calibri" w:eastAsia="MS Gothic" w:hAnsi="Calibri" w:cs="Times New Roman"/>
      <w:b/>
      <w:bCs/>
      <w:kern w:val="32"/>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0809">
      <w:bodyDiv w:val="1"/>
      <w:marLeft w:val="0"/>
      <w:marRight w:val="0"/>
      <w:marTop w:val="0"/>
      <w:marBottom w:val="0"/>
      <w:divBdr>
        <w:top w:val="none" w:sz="0" w:space="0" w:color="auto"/>
        <w:left w:val="none" w:sz="0" w:space="0" w:color="auto"/>
        <w:bottom w:val="none" w:sz="0" w:space="0" w:color="auto"/>
        <w:right w:val="none" w:sz="0" w:space="0" w:color="auto"/>
      </w:divBdr>
    </w:div>
    <w:div w:id="136263067">
      <w:bodyDiv w:val="1"/>
      <w:marLeft w:val="0"/>
      <w:marRight w:val="0"/>
      <w:marTop w:val="0"/>
      <w:marBottom w:val="0"/>
      <w:divBdr>
        <w:top w:val="none" w:sz="0" w:space="0" w:color="auto"/>
        <w:left w:val="none" w:sz="0" w:space="0" w:color="auto"/>
        <w:bottom w:val="none" w:sz="0" w:space="0" w:color="auto"/>
        <w:right w:val="none" w:sz="0" w:space="0" w:color="auto"/>
      </w:divBdr>
    </w:div>
    <w:div w:id="543060389">
      <w:bodyDiv w:val="1"/>
      <w:marLeft w:val="0"/>
      <w:marRight w:val="0"/>
      <w:marTop w:val="0"/>
      <w:marBottom w:val="0"/>
      <w:divBdr>
        <w:top w:val="none" w:sz="0" w:space="0" w:color="auto"/>
        <w:left w:val="none" w:sz="0" w:space="0" w:color="auto"/>
        <w:bottom w:val="none" w:sz="0" w:space="0" w:color="auto"/>
        <w:right w:val="none" w:sz="0" w:space="0" w:color="auto"/>
      </w:divBdr>
    </w:div>
    <w:div w:id="596906612">
      <w:bodyDiv w:val="1"/>
      <w:marLeft w:val="0"/>
      <w:marRight w:val="0"/>
      <w:marTop w:val="0"/>
      <w:marBottom w:val="0"/>
      <w:divBdr>
        <w:top w:val="none" w:sz="0" w:space="0" w:color="auto"/>
        <w:left w:val="none" w:sz="0" w:space="0" w:color="auto"/>
        <w:bottom w:val="none" w:sz="0" w:space="0" w:color="auto"/>
        <w:right w:val="none" w:sz="0" w:space="0" w:color="auto"/>
      </w:divBdr>
      <w:divsChild>
        <w:div w:id="12657184">
          <w:marLeft w:val="0"/>
          <w:marRight w:val="0"/>
          <w:marTop w:val="0"/>
          <w:marBottom w:val="0"/>
          <w:divBdr>
            <w:top w:val="none" w:sz="0" w:space="0" w:color="auto"/>
            <w:left w:val="none" w:sz="0" w:space="0" w:color="auto"/>
            <w:bottom w:val="single" w:sz="4" w:space="0" w:color="auto"/>
            <w:right w:val="none" w:sz="0" w:space="0" w:color="auto"/>
          </w:divBdr>
        </w:div>
        <w:div w:id="1464151397">
          <w:marLeft w:val="0"/>
          <w:marRight w:val="0"/>
          <w:marTop w:val="0"/>
          <w:marBottom w:val="0"/>
          <w:divBdr>
            <w:top w:val="none" w:sz="0" w:space="0" w:color="auto"/>
            <w:left w:val="none" w:sz="0" w:space="0" w:color="auto"/>
            <w:bottom w:val="single" w:sz="4" w:space="0" w:color="auto"/>
            <w:right w:val="none" w:sz="0" w:space="0" w:color="auto"/>
          </w:divBdr>
        </w:div>
      </w:divsChild>
    </w:div>
    <w:div w:id="1183930966">
      <w:bodyDiv w:val="1"/>
      <w:marLeft w:val="0"/>
      <w:marRight w:val="0"/>
      <w:marTop w:val="0"/>
      <w:marBottom w:val="0"/>
      <w:divBdr>
        <w:top w:val="none" w:sz="0" w:space="0" w:color="auto"/>
        <w:left w:val="none" w:sz="0" w:space="0" w:color="auto"/>
        <w:bottom w:val="none" w:sz="0" w:space="0" w:color="auto"/>
        <w:right w:val="none" w:sz="0" w:space="0" w:color="auto"/>
      </w:divBdr>
    </w:div>
    <w:div w:id="1231115983">
      <w:bodyDiv w:val="1"/>
      <w:marLeft w:val="0"/>
      <w:marRight w:val="0"/>
      <w:marTop w:val="0"/>
      <w:marBottom w:val="0"/>
      <w:divBdr>
        <w:top w:val="none" w:sz="0" w:space="0" w:color="auto"/>
        <w:left w:val="none" w:sz="0" w:space="0" w:color="auto"/>
        <w:bottom w:val="none" w:sz="0" w:space="0" w:color="auto"/>
        <w:right w:val="none" w:sz="0" w:space="0" w:color="auto"/>
      </w:divBdr>
    </w:div>
    <w:div w:id="1276985887">
      <w:bodyDiv w:val="1"/>
      <w:marLeft w:val="0"/>
      <w:marRight w:val="0"/>
      <w:marTop w:val="0"/>
      <w:marBottom w:val="0"/>
      <w:divBdr>
        <w:top w:val="none" w:sz="0" w:space="0" w:color="auto"/>
        <w:left w:val="none" w:sz="0" w:space="0" w:color="auto"/>
        <w:bottom w:val="none" w:sz="0" w:space="0" w:color="auto"/>
        <w:right w:val="none" w:sz="0" w:space="0" w:color="auto"/>
      </w:divBdr>
    </w:div>
    <w:div w:id="13302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market.ru/en/investor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kmark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kmarke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rpcom@okmarket.ru" TargetMode="External"/><Relationship Id="rId4" Type="http://schemas.openxmlformats.org/officeDocument/2006/relationships/settings" Target="settings.xml"/><Relationship Id="rId9" Type="http://schemas.openxmlformats.org/officeDocument/2006/relationships/hyperlink" Target="mailto:ir@okmarket.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dina.OKEY\AppData\Local\Microsoft\Windows\Temporary%20Internet%20Files\Content.Outlook\JPDM83U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Template>
  <TotalTime>0</TotalTime>
  <Pages>6</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13506</CharactersWithSpaces>
  <SharedDoc>false</SharedDoc>
  <HLinks>
    <vt:vector size="30" baseType="variant">
      <vt:variant>
        <vt:i4>6619191</vt:i4>
      </vt:variant>
      <vt:variant>
        <vt:i4>12</vt:i4>
      </vt:variant>
      <vt:variant>
        <vt:i4>0</vt:i4>
      </vt:variant>
      <vt:variant>
        <vt:i4>5</vt:i4>
      </vt:variant>
      <vt:variant>
        <vt:lpwstr>http://www.okmarket.ru/</vt:lpwstr>
      </vt:variant>
      <vt:variant>
        <vt:lpwstr/>
      </vt:variant>
      <vt:variant>
        <vt:i4>6619191</vt:i4>
      </vt:variant>
      <vt:variant>
        <vt:i4>9</vt:i4>
      </vt:variant>
      <vt:variant>
        <vt:i4>0</vt:i4>
      </vt:variant>
      <vt:variant>
        <vt:i4>5</vt:i4>
      </vt:variant>
      <vt:variant>
        <vt:lpwstr>http://www.okmarket.ru/</vt:lpwstr>
      </vt:variant>
      <vt:variant>
        <vt:lpwstr/>
      </vt:variant>
      <vt:variant>
        <vt:i4>3342365</vt:i4>
      </vt:variant>
      <vt:variant>
        <vt:i4>6</vt:i4>
      </vt:variant>
      <vt:variant>
        <vt:i4>0</vt:i4>
      </vt:variant>
      <vt:variant>
        <vt:i4>5</vt:i4>
      </vt:variant>
      <vt:variant>
        <vt:lpwstr>mailto:corpcom@okmarket.ru</vt:lpwstr>
      </vt:variant>
      <vt:variant>
        <vt:lpwstr/>
      </vt:variant>
      <vt:variant>
        <vt:i4>2883587</vt:i4>
      </vt:variant>
      <vt:variant>
        <vt:i4>3</vt:i4>
      </vt:variant>
      <vt:variant>
        <vt:i4>0</vt:i4>
      </vt:variant>
      <vt:variant>
        <vt:i4>5</vt:i4>
      </vt:variant>
      <vt:variant>
        <vt:lpwstr>mailto:ir@okmarket.ru</vt:lpwstr>
      </vt:variant>
      <vt:variant>
        <vt:lpwstr/>
      </vt:variant>
      <vt:variant>
        <vt:i4>6619191</vt:i4>
      </vt:variant>
      <vt:variant>
        <vt:i4>0</vt:i4>
      </vt:variant>
      <vt:variant>
        <vt:i4>0</vt:i4>
      </vt:variant>
      <vt:variant>
        <vt:i4>5</vt:i4>
      </vt:variant>
      <vt:variant>
        <vt:lpwstr>http://www.okmarket.ru/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mradina</dc:creator>
  <cp:lastModifiedBy>Maksim Kravtsov</cp:lastModifiedBy>
  <cp:revision>2</cp:revision>
  <cp:lastPrinted>2012-04-23T14:32:00Z</cp:lastPrinted>
  <dcterms:created xsi:type="dcterms:W3CDTF">2012-04-24T05:36:00Z</dcterms:created>
  <dcterms:modified xsi:type="dcterms:W3CDTF">2012-04-24T05:36:00Z</dcterms:modified>
</cp:coreProperties>
</file>